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b/>
          <w:bCs/>
          <w:color w:val="0F5C63"/>
          <w:spacing w:val="30"/>
          <w:sz w:val="20"/>
          <w:szCs w:val="20"/>
        </w:rPr>
        <w:t xml:space="preserve">STUDY PROTOCOL</w:t>
      </w:r>
    </w:p>
    <w:p>
      <w:pPr>
        <w:spacing w:after="240"/>
      </w:pPr>
      <w:r>
        <w:rPr>
          <w:b/>
          <w:bCs/>
          <w:color w:val="14202E"/>
          <w:sz w:val="34"/>
          <w:szCs w:val="34"/>
        </w:rPr>
        <w:t xml:space="preserve">Immersive versus screen-based virtual classroom training for academic interaction among autistic university students in Jordan: protocol for a pilot randomised controlled trial</w:t>
      </w:r>
    </w:p>
    <w:p>
      <w:pPr>
        <w:spacing w:after="120" w:line="300"/>
        <w:jc w:val="left"/>
      </w:pPr>
      <w:r>
        <w:rPr>
          <w:b/>
          <w:bCs/>
        </w:rPr>
        <w:t xml:space="preserve">Authors:</w:t>
      </w:r>
      <w:r>
        <w:t xml:space="preserve"> [Author 1]</w:t>
      </w:r>
      <w:r>
        <w:rPr>
          <w:vertAlign w:val="superscript"/>
        </w:rPr>
        <w:t xml:space="preserve">1</w:t>
      </w:r>
      <w:r>
        <w:t xml:space="preserve">, [Author 2]</w:t>
      </w:r>
      <w:r>
        <w:rPr>
          <w:vertAlign w:val="superscript"/>
        </w:rPr>
        <w:t xml:space="preserve">1</w:t>
      </w:r>
      <w:r>
        <w:t xml:space="preserve">, [Author 3]</w:t>
      </w:r>
      <w:r>
        <w:rPr>
          <w:vertAlign w:val="superscript"/>
        </w:rPr>
        <w:t xml:space="preserve">2</w:t>
      </w:r>
    </w:p>
    <w:p>
      <w:pPr>
        <w:spacing w:after="120" w:line="300"/>
        <w:jc w:val="left"/>
      </w:pPr>
      <w:r>
        <w:rPr>
          <w:vertAlign w:val="superscript"/>
        </w:rPr>
        <w:t xml:space="preserve">1</w:t>
      </w:r>
      <w:r>
        <w:t xml:space="preserve">[Department, Faculty, University, Amman, Jordan]; </w:t>
      </w:r>
      <w:r>
        <w:rPr>
          <w:vertAlign w:val="superscript"/>
        </w:rPr>
        <w:t xml:space="preserve">2</w:t>
      </w:r>
      <w:r>
        <w:t xml:space="preserve">[Department, University, City, Country]</w:t>
      </w:r>
    </w:p>
    <w:p>
      <w:pPr>
        <w:spacing w:after="120" w:line="300"/>
        <w:jc w:val="left"/>
      </w:pPr>
      <w:r>
        <w:rPr>
          <w:b/>
          <w:bCs/>
        </w:rPr>
        <w:t xml:space="preserve">Corresponding author:</w:t>
      </w:r>
      <w:r>
        <w:t xml:space="preserve"> [Name, postal address, email]</w:t>
      </w:r>
    </w:p>
    <w:p>
      <w:pPr>
        <w:spacing w:after="120" w:line="300"/>
        <w:jc w:val="left"/>
      </w:pPr>
      <w:r>
        <w:rPr>
          <w:b/>
          <w:bCs/>
        </w:rPr>
        <w:t xml:space="preserve">Protocol version:</w:t>
      </w:r>
      <w:r>
        <w:t xml:space="preserve"> 1.0, [date]. </w:t>
      </w:r>
      <w:r>
        <w:rPr>
          <w:b/>
          <w:bCs/>
        </w:rPr>
        <w:t xml:space="preserve">Trial registration:</w:t>
      </w:r>
      <w:r>
        <w:t xml:space="preserve"> to be registered at ClinicalTrials.gov before the first participant is enrolled; registration number [pending].</w:t>
      </w:r>
    </w:p>
    <w:p>
      <w:pPr>
        <w:spacing w:after="120" w:line="300"/>
        <w:jc w:val="left"/>
      </w:pPr>
      <w:r>
        <w:rPr>
          <w:b/>
          <w:bCs/>
        </w:rPr>
        <w:t xml:space="preserve">Word count:</w:t>
      </w:r>
      <w:r>
        <w:t xml:space="preserve"> main text approximately 3,600 words (including tables); abstract 345 words. </w:t>
      </w:r>
      <w:r>
        <w:rPr>
          <w:b/>
          <w:bCs/>
        </w:rPr>
        <w:t xml:space="preserve">Reporting guideline:</w:t>
      </w:r>
      <w:r>
        <w:t xml:space="preserve"> SPIRIT 2025, with TIDieR for intervention description; the future results report will follow the CONSORT extension for randomised pilot and feasibility trials.</w:t>
      </w:r>
    </w:p>
    <w:p>
      <w:pPr>
        <w:spacing w:before="200"/>
      </w:pPr>
    </w:p>
    <w:p>
      <w:pPr>
        <w:pStyle w:val="Heading1"/>
      </w:pPr>
      <w:r>
        <w:t xml:space="preserve">Abstract</w:t>
      </w:r>
    </w:p>
    <w:p>
      <w:pPr>
        <w:spacing w:after="120" w:line="300"/>
        <w:jc w:val="both"/>
      </w:pPr>
      <w:r>
        <w:rPr>
          <w:b/>
          <w:bCs/>
        </w:rPr>
        <w:t xml:space="preserve">Background:</w:t>
      </w:r>
      <w:r>
        <w:t xml:space="preserve"> Autistic students increasingly enter higher education but complete it at lower rates than their peers, and taking part in class, by answering, asking, discussing and presenting, is a recurring, often assessed demand. Virtual reality (VR) allows repeatable, adjustable rehearsal of such situations, yet controlled trials of immersive VR in autism show small pooled effects, rarely include follow-up, and seldom test whether gains transfer to real settings. No trial has isolated the added value of immersion over identical screen-based practice for autistic university students, and we identified none conducted in an Arabic-speaking setting.</w:t>
      </w:r>
    </w:p>
    <w:p>
      <w:pPr>
        <w:spacing w:after="120" w:line="300"/>
        <w:jc w:val="both"/>
      </w:pPr>
      <w:r>
        <w:rPr>
          <w:b/>
          <w:bCs/>
        </w:rPr>
        <w:t xml:space="preserve">Objective:</w:t>
      </w:r>
      <w:r>
        <w:t xml:space="preserve"> To assess the feasibility, acceptability and safety of a two-arm randomised trial comparing immersive VR with screen-based delivery of the same virtual classroom training, and to estimate the between-arm difference in real-world academic interaction to inform a definitive trial.</w:t>
      </w:r>
    </w:p>
    <w:p>
      <w:pPr>
        <w:spacing w:after="120" w:line="300"/>
        <w:jc w:val="both"/>
      </w:pPr>
      <w:r>
        <w:rPr>
          <w:b/>
          <w:bCs/>
        </w:rPr>
        <w:t xml:space="preserve">Methods:</w:t>
      </w:r>
      <w:r>
        <w:t xml:space="preserve"> A 16-week, single-site, parallel-group, assessor-blinded pilot randomised controlled trial with 1:1 allocation. Twenty-four enrolled autistic university students aged 18 years or over in Jordan will be randomised to immersive VR (head-mounted display) or screen-based delivery of an identical bilingual (Jordanian Arabic and English) virtual classroom programme comprising 12 facilitated sessions over 6 weeks. Weeks 1 to 8 are allocated to software development, with ethics approval and recruitment in parallel. Primary objectives concern feasibility: recruitment, retention (target ≥80%), session attendance (≥9 of 12 sessions in ≥75% of participants), safety and rater reliability (intraclass correlation ≥0.75). The candidate primary efficacy outcome is the number of verbal contributions in a standardised 15-minute live seminar task at week 15, video-rated by two raters blind to allocation; presentation quality (Public Speaking Competence Rubric), public-speaking anxiety, cybersickness, usability, maintenance at week 16 and self-logged real-class contributions are secondary outcomes. Between-arm differences will be estimated with ANCOVA adjusted for baseline, with 95% confidence intervals, on an intention-to-treat basis.</w:t>
      </w:r>
    </w:p>
    <w:p>
      <w:pPr>
        <w:spacing w:after="120" w:line="300"/>
        <w:jc w:val="both"/>
      </w:pPr>
      <w:r>
        <w:rPr>
          <w:b/>
          <w:bCs/>
        </w:rPr>
        <w:t xml:space="preserve">Discussion:</w:t>
      </w:r>
      <w:r>
        <w:t xml:space="preserve"> The trial will establish whether a definitive multi-site trial is feasible and provide the variance and effect-size estimates needed to power it. By holding content and facilitator time constant, it isolates the contribution of immersion, a question that determines whether universities should invest in headsets or in screen-based tools.</w:t>
      </w:r>
    </w:p>
    <w:p>
      <w:pPr>
        <w:spacing w:after="120" w:line="300"/>
        <w:jc w:val="both"/>
      </w:pPr>
      <w:r>
        <w:rPr>
          <w:b/>
          <w:bCs/>
        </w:rPr>
        <w:t xml:space="preserve">Keywords:</w:t>
      </w:r>
      <w:r>
        <w:t xml:space="preserve"> autism; virtual reality; higher education; class participation; public speaking; pilot randomised controlled trial; Jordan; protocol</w:t>
      </w:r>
    </w:p>
    <w:p>
      <w:r>
        <w:br w:type="page"/>
      </w:r>
    </w:p>
    <w:p>
      <w:pPr>
        <w:pStyle w:val="Heading1"/>
      </w:pPr>
      <w:r>
        <w:t xml:space="preserve">Administrative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Item</w:t>
            </w:r>
          </w:p>
        </w:tc>
        <w:tc>
          <w:tcPr>
            <w:tcW w:type="dxa" w:w="716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Information</w:t>
            </w:r>
          </w:p>
        </w:tc>
      </w:tr>
      <w:tr>
        <w:trPr>
          <w:cantSplit/>
        </w:trPr>
        <w:tc>
          <w:tcPr>
            <w:tcW w:type="dxa" w:w="2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Title</w:t>
            </w:r>
          </w:p>
        </w:tc>
        <w:tc>
          <w:tcPr>
            <w:tcW w:type="dxa" w:w="7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Immersive versus screen-based virtual classroom training for academic interaction among autistic university students in Jordan: protocol for a pilot randomised controlled trial</w:t>
            </w:r>
          </w:p>
        </w:tc>
      </w:tr>
      <w:tr>
        <w:trPr>
          <w:cantSplit/>
        </w:trPr>
        <w:tc>
          <w:tcPr>
            <w:tcW w:type="dxa" w:w="2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Trial registration</w:t>
            </w:r>
          </w:p>
        </w:tc>
        <w:tc>
          <w:tcPr>
            <w:tcW w:type="dxa" w:w="7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ClinicalTrials.gov; to be registered before enrolment (number pending). The WHO Trial Registration Data Set is provided in Supplementary Table S1.</w:t>
            </w:r>
          </w:p>
        </w:tc>
      </w:tr>
      <w:tr>
        <w:trPr>
          <w:cantSplit/>
        </w:trPr>
        <w:tc>
          <w:tcPr>
            <w:tcW w:type="dxa" w:w="2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Protocol version</w:t>
            </w:r>
          </w:p>
        </w:tc>
        <w:tc>
          <w:tcPr>
            <w:tcW w:type="dxa" w:w="7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Version 1.0, [date]</w:t>
            </w:r>
          </w:p>
        </w:tc>
      </w:tr>
      <w:tr>
        <w:trPr>
          <w:cantSplit/>
        </w:trPr>
        <w:tc>
          <w:tcPr>
            <w:tcW w:type="dxa" w:w="2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Funding</w:t>
            </w:r>
          </w:p>
        </w:tc>
        <w:tc>
          <w:tcPr>
            <w:tcW w:type="dxa" w:w="7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[Source of funding or "No external funding"]; in-kind support (room and equipment) from [University]</w:t>
            </w:r>
          </w:p>
        </w:tc>
      </w:tr>
      <w:tr>
        <w:trPr>
          <w:cantSplit/>
        </w:trPr>
        <w:tc>
          <w:tcPr>
            <w:tcW w:type="dxa" w:w="2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Sponsor</w:t>
            </w:r>
          </w:p>
        </w:tc>
        <w:tc>
          <w:tcPr>
            <w:tcW w:type="dxa" w:w="7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[University name], [address]; contact: [name, email]</w:t>
            </w:r>
          </w:p>
        </w:tc>
      </w:tr>
      <w:tr>
        <w:trPr>
          <w:cantSplit/>
        </w:trPr>
        <w:tc>
          <w:tcPr>
            <w:tcW w:type="dxa" w:w="2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Role of sponsor and funders</w:t>
            </w:r>
          </w:p>
        </w:tc>
        <w:tc>
          <w:tcPr>
            <w:tcW w:type="dxa" w:w="7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The sponsor and funders have no role in study design, data collection, analysis, interpretation, writing or the decision to publish, and no authority over these activities.</w:t>
            </w:r>
          </w:p>
        </w:tc>
      </w:tr>
      <w:tr>
        <w:trPr>
          <w:cantSplit/>
        </w:trPr>
        <w:tc>
          <w:tcPr>
            <w:tcW w:type="dxa" w:w="2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Contributors and roles</w:t>
            </w:r>
          </w:p>
        </w:tc>
        <w:tc>
          <w:tcPr>
            <w:tcW w:type="dxa" w:w="7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[Author 1]: conception, design, protocol writing, principal investigator. [Author 2]: methodology, statistical analysis plan. [Author 3]: software development lead. All authors approved the final protocol.</w:t>
            </w:r>
          </w:p>
        </w:tc>
      </w:tr>
      <w:tr>
        <w:trPr>
          <w:cantSplit/>
        </w:trPr>
        <w:tc>
          <w:tcPr>
            <w:tcW w:type="dxa" w:w="2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Trial management</w:t>
            </w:r>
          </w:p>
        </w:tc>
        <w:tc>
          <w:tcPr>
            <w:tcW w:type="dxa" w:w="7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 trial management group (principal investigator, trial coordinator, software developer) meets weekly. An independent faculty member not involved in delivery reviews adverse events and protocol adherence monthly (see Monitoring).</w:t>
            </w:r>
          </w:p>
        </w:tc>
      </w:tr>
    </w:tbl>
    <w:p>
      <w:pPr>
        <w:pStyle w:val="Heading1"/>
      </w:pPr>
      <w:r>
        <w:t xml:space="preserve">Open science</w:t>
      </w:r>
    </w:p>
    <w:p>
      <w:pPr>
        <w:pStyle w:val="Heading3"/>
      </w:pPr>
      <w:r>
        <w:t xml:space="preserve">Trial registration</w:t>
      </w:r>
    </w:p>
    <w:p>
      <w:pPr>
        <w:spacing w:after="120" w:line="300"/>
        <w:jc w:val="both"/>
      </w:pPr>
      <w:r>
        <w:t xml:space="preserve">The trial will be prospectively registered at ClinicalTrials.gov before the first participant is enrolled. Any registration number will be added to this protocol and cited in all reports.</w:t>
      </w:r>
    </w:p>
    <w:p>
      <w:pPr>
        <w:pStyle w:val="Heading3"/>
      </w:pPr>
      <w:r>
        <w:t xml:space="preserve">Protocol and statistical analysis plan</w:t>
      </w:r>
    </w:p>
    <w:p>
      <w:pPr>
        <w:spacing w:after="120" w:line="300"/>
        <w:jc w:val="both"/>
      </w:pPr>
      <w:r>
        <w:t xml:space="preserve">This protocol and a detailed statistical analysis plan, finalised before database lock and before unblinding of group labels to the analyst, will be deposited on the Open Science Framework (OSF) with a time-stamped, persistent identifier.</w:t>
      </w:r>
    </w:p>
    <w:p>
      <w:pPr>
        <w:pStyle w:val="Heading3"/>
      </w:pPr>
      <w:r>
        <w:t xml:space="preserve">Data sharing</w:t>
      </w:r>
    </w:p>
    <w:p>
      <w:pPr>
        <w:spacing w:after="120" w:line="300"/>
        <w:jc w:val="both"/>
      </w:pPr>
      <w:r>
        <w:t xml:space="preserve">De-identified individual participant data with a data dictionary, the statistical code, the outcome rating manual and the session plans will be made available on the OSF after publication of the main results. Video recordings will not be shared, because they cannot be de-identified; they will be deleted after rating and verification, as described under Confidentiality. The virtual classroom software will be made available to other universities on request for non-commercial use.</w:t>
      </w:r>
    </w:p>
    <w:p>
      <w:pPr>
        <w:pStyle w:val="Heading3"/>
      </w:pPr>
      <w:r>
        <w:t xml:space="preserve">Funding and conflicts of interest</w:t>
      </w:r>
    </w:p>
    <w:p>
      <w:pPr>
        <w:spacing w:after="120" w:line="300"/>
        <w:jc w:val="both"/>
      </w:pPr>
      <w:r>
        <w:t xml:space="preserve">[Funding statement]. The authors declare no financial or other conflicts of interest. No author has a commercial interest in the software or any VR hardware manufacturer.</w:t>
      </w:r>
    </w:p>
    <w:p>
      <w:pPr>
        <w:pStyle w:val="Heading3"/>
      </w:pPr>
      <w:r>
        <w:t xml:space="preserve">Dissemination policy</w:t>
      </w:r>
    </w:p>
    <w:p>
      <w:pPr>
        <w:spacing w:after="120" w:line="300"/>
        <w:jc w:val="both"/>
      </w:pPr>
      <w:r>
        <w:t xml:space="preserve">Results will be posted to the trial registry within 12 months of study completion and submitted for publication in a peer-reviewed, open-access journal regardless of direction or statistical significance. Participants will receive a plain-language summary in Arabic and English, and findings will be presented to the university's student services and academic leadership. Authorship will follow ICMJE criteria; no professional writers will be used.</w:t>
      </w:r>
    </w:p>
    <w:p>
      <w:pPr>
        <w:pStyle w:val="Heading1"/>
      </w:pPr>
      <w:r>
        <w:t xml:space="preserve">Introduction</w:t>
      </w:r>
    </w:p>
    <w:p>
      <w:pPr>
        <w:pStyle w:val="Heading2"/>
      </w:pPr>
      <w:r>
        <w:t xml:space="preserve">Background and rationale</w:t>
      </w:r>
    </w:p>
    <w:p>
      <w:pPr>
        <w:spacing w:after="120" w:line="300"/>
        <w:jc w:val="both"/>
      </w:pPr>
      <w:r>
        <w:t xml:space="preserve">Autistic students are entering higher education in growing numbers, but participation does not mean equal outcomes. A recent systematic review of support programmes reported retention or graduation of 35% for autistic students compared with 67% for their non-autistic peers [1]. In a UK survey, 77.8% of autistic students (49 of 63) had considered dropping out, compared with 61.6% of non-autistic students (165 of 268) [2]. In Arab countries the evidence base is particularly thin: a scoping review identified only 12 assistive-technology studies on autism across the region, mostly with school-aged boys, and only one from Jordan, which included children aged 5 to 13 [3]. None addressed adults or university students.</w:t>
      </w:r>
    </w:p>
    <w:p>
      <w:pPr>
        <w:spacing w:after="120" w:line="300"/>
        <w:jc w:val="both"/>
      </w:pPr>
      <w:r>
        <w:t xml:space="preserve">Academic interaction, meaning answering when called on, asking the lecturer a question, contributing to group discussion and presenting, is expected in most university courses and is frequently assessed. These are social situations that are difficult to rehearse repeatedly in real life, which makes them a natural target for simulation.</w:t>
      </w:r>
    </w:p>
    <w:p>
      <w:pPr>
        <w:spacing w:after="120" w:line="300"/>
        <w:jc w:val="both"/>
      </w:pPr>
      <w:r>
        <w:t xml:space="preserve">Simulation training can change real outcomes. In a randomised trial of 71 autistic transition-age youth, 25.0% of those who completed 15 sessions of computer-delivered virtual interview training obtained competitive integrated employment within six months, compared with 0.0% of those receiving services as usual (χ² = 6.9, p &lt; 0.01) [4]. However, that training was delivered on a standard computer rather than a head-mounted display, and the authors reported that the trial was not fully powered.</w:t>
      </w:r>
    </w:p>
    <w:p>
      <w:pPr>
        <w:spacing w:after="120" w:line="300"/>
        <w:jc w:val="both"/>
      </w:pPr>
      <w:r>
        <w:t xml:space="preserve">For immersive VR specifically, the evidence is promising but limited. A meta-analysis of controlled trials of immersive VR interventions for autism found a small-to-moderate pooled effect (Cohen's d = 0.285, 95% CI 0.132 to 0.438); every controlled trial targeted social or affective skills, only 3 of 15 studies reported follow-up, and none examined in depth whether gains transferred to real-life situations [5]. A broader meta-analysis of VR and augmented reality interventions reported a pooled effect of g = 0.74 across 26 uncontrolled studies but g = 0.45 across 9 controlled trials, with a confidence interval including zero [6]. The transfer gap is illustrated by a controlled trial of 94 autistic children in which measures close to the trained task improved (for example, affective expression, d = 0.89) while daily-life adaptive behaviour measures remained near zero (d between −0.12 and 0.12) [5,7].</w:t>
      </w:r>
    </w:p>
    <w:p>
      <w:pPr>
        <w:spacing w:after="120" w:line="300"/>
        <w:jc w:val="both"/>
      </w:pPr>
      <w:r>
        <w:t xml:space="preserve">Speaking in front of others is the most demanding element of academic interaction, and VR has an established role here: a meta-analysis of 11 studies (508 participants) found that VR exposure reduced public-speaking anxiety with a large effect compared with control (−1.39), only marginally below in-vivo exposure [8]. For autistic adults, the only randomised trial identified was small (23 participants aged 18 to 25) and reported higher self-confidence and lower salivary cortisol with a virtual-audience programme than with independent training [9].</w:t>
      </w:r>
    </w:p>
    <w:p>
      <w:pPr>
        <w:spacing w:after="120" w:line="300"/>
        <w:jc w:val="both"/>
      </w:pPr>
      <w:r>
        <w:t xml:space="preserve">Two questions therefore remain open. First, it is unknown whether immersion itself adds value over the same content delivered on an ordinary screen, a question with direct cost implications for universities. Second, it is unknown whether such training changes behaviour in real academic settings. Before a definitive trial can address these questions, the feasibility of recruitment, retention, delivery and blinded real-world outcome assessment in this population and setting must be established.</w:t>
      </w:r>
    </w:p>
    <w:p>
      <w:pPr>
        <w:pStyle w:val="Heading2"/>
      </w:pPr>
      <w:r>
        <w:t xml:space="preserve">Choice of comparator</w:t>
      </w:r>
    </w:p>
    <w:p>
      <w:pPr>
        <w:spacing w:after="120" w:line="300"/>
        <w:jc w:val="both"/>
      </w:pPr>
      <w:r>
        <w:t xml:space="preserve">The comparator is screen-based delivery of identical scenarios, software, session structure, facilitator time and real-world tasks. Only the display modality differs. This active, dose-matched comparator isolates the contribution of immersion and controls for attention, practice and facilitator contact, which a usual-care or waitlist comparator would not. A usual-support arm is deferred to a future definitive trial.</w:t>
      </w:r>
    </w:p>
    <w:p>
      <w:pPr>
        <w:pStyle w:val="Heading2"/>
      </w:pPr>
      <w:r>
        <w:t xml:space="preserve">Objectives</w:t>
      </w:r>
    </w:p>
    <w:p>
      <w:pPr>
        <w:spacing w:after="120" w:line="300"/>
        <w:jc w:val="both"/>
      </w:pPr>
      <w:r>
        <w:rPr>
          <w:b/>
          <w:bCs/>
        </w:rPr>
        <w:t xml:space="preserve">Primary (feasibility) objectives:</w:t>
      </w:r>
      <w:r>
        <w:t xml:space="preserve"> to estimate (1) the recruitment rate; (2) retention to week 15; (3) adherence, defined as sessions attended; (4) the frequency and nature of harms, including cybersickness and distress; and (5) the inter-rater reliability of the blinded seminar task rating.</w:t>
      </w:r>
    </w:p>
    <w:p>
      <w:pPr>
        <w:spacing w:after="120" w:line="300"/>
        <w:jc w:val="both"/>
      </w:pPr>
      <w:r>
        <w:rPr>
          <w:b/>
          <w:bCs/>
        </w:rPr>
        <w:t xml:space="preserve">Secondary objectives:</w:t>
      </w:r>
      <w:r>
        <w:t xml:space="preserve"> to estimate, with 95% confidence intervals, the between-arm difference in real-world academic interaction at week 15 and its maintenance at week 16; to estimate between-arm differences in presentation quality, public-speaking anxiety and usability; and to obtain the standard deviation and baseline–outcome correlation of the candidate primary outcome needed to calculate the sample size of a definitive trial. In line with guidance for pilot trials, efficacy estimates are exploratory and will not be interpreted as tests of effectiveness [10].</w:t>
      </w:r>
    </w:p>
    <w:p>
      <w:pPr>
        <w:pStyle w:val="Heading1"/>
      </w:pPr>
      <w:r>
        <w:t xml:space="preserve">Methods</w:t>
      </w:r>
    </w:p>
    <w:p>
      <w:pPr>
        <w:pStyle w:val="Heading2"/>
      </w:pPr>
      <w:r>
        <w:t xml:space="preserve">Patient and public involvement</w:t>
      </w:r>
    </w:p>
    <w:p>
      <w:pPr>
        <w:spacing w:after="120" w:line="300"/>
        <w:jc w:val="both"/>
      </w:pPr>
      <w:r>
        <w:t xml:space="preserve">Autistic students will contribute to the design of the software. In weeks 6 and 7, a small group of autistic students who are not enrolled in the trial will test the prototype for comfort, clarity and usability, and will review the participant information sheet and consent form for readability. Their feedback will be used to adjust scenarios, sensory settings and participant materials before baseline. They will be compensated for their time. Participants will receive a plain-language summary of results.</w:t>
      </w:r>
    </w:p>
    <w:p>
      <w:pPr>
        <w:pStyle w:val="Heading2"/>
      </w:pPr>
      <w:r>
        <w:t xml:space="preserve">Trial design</w:t>
      </w:r>
    </w:p>
    <w:p>
      <w:pPr>
        <w:spacing w:after="120" w:line="300"/>
        <w:jc w:val="both"/>
      </w:pPr>
      <w:r>
        <w:t xml:space="preserve">This is a single-site, two-arm, parallel-group, assessor-blinded pilot randomised controlled trial with 1:1 allocation and an exploratory framework. The total duration is 16 weeks: weeks 1 to 8 for software development, ethics approval, registration and recruitment; week 8 for baseline assessment and randomisation; weeks 9 to 14 for intervention delivery; week 15 for post-intervention assessment; and week 16 for follow-up assessment and analysis.</w:t>
      </w:r>
    </w:p>
    <w:p>
      <w:pPr>
        <w:pStyle w:val="Heading2"/>
      </w:pPr>
      <w:r>
        <w:t xml:space="preserve">Trial setting</w:t>
      </w:r>
    </w:p>
    <w:p>
      <w:pPr>
        <w:spacing w:after="120" w:line="300"/>
        <w:jc w:val="both"/>
      </w:pPr>
      <w:r>
        <w:t xml:space="preserve">The trial will take place in a quiet, dedicated room at [University], Amman, Jordan, with a seated and a standing area. Real-world seminar tasks will take place in an ordinary university seminar room on the same campus.</w:t>
      </w:r>
    </w:p>
    <w:p>
      <w:pPr>
        <w:pStyle w:val="Heading2"/>
      </w:pPr>
      <w:r>
        <w:t xml:space="preserve">Eligibility criteria</w:t>
      </w:r>
    </w:p>
    <w:p>
      <w:pPr>
        <w:spacing w:after="120" w:line="300"/>
        <w:jc w:val="both"/>
      </w:pPr>
      <w:r>
        <w:rPr>
          <w:b/>
          <w:bCs/>
        </w:rPr>
        <w:t xml:space="preserve">Participants.</w:t>
      </w:r>
      <w:r>
        <w:t xml:space="preserve"> Inclusion: currently enrolled university students; aged 18 years or over; an autism diagnosis documented by a qualified clinician; enrolled in at least one course that involves in-class participation during the study period; able to communicate in Arabic or English; and able to provide informed consent. Exclusion: photosensitive epilepsy or a history of seizures triggered by visual stimuli; a vestibular or visual condition that, in the opinion of the screening clinician, makes headset use unsafe even in seated mode; or current participation in another structured social-communication programme.</w:t>
      </w:r>
    </w:p>
    <w:p>
      <w:pPr>
        <w:spacing w:after="120" w:line="300"/>
        <w:jc w:val="both"/>
      </w:pPr>
      <w:r>
        <w:rPr>
          <w:b/>
          <w:bCs/>
        </w:rPr>
        <w:t xml:space="preserve">Facilitators and raters.</w:t>
      </w:r>
      <w:r>
        <w:t xml:space="preserve"> Facilitators will be members of the study team with a background in psychology, special education or a related field, who complete 8 hours of training in the session manual and safety procedures. Raters will be members of the team who do not facilitate sessions for the participants they rate and who complete PSCR and participation-count training (see Data collection).</w:t>
      </w:r>
    </w:p>
    <w:p>
      <w:pPr>
        <w:pStyle w:val="Heading2"/>
      </w:pPr>
      <w:r>
        <w:t xml:space="preserve">Intervention and comparator</w:t>
      </w:r>
    </w:p>
    <w:p>
      <w:pPr>
        <w:spacing w:after="120" w:line="300"/>
        <w:jc w:val="both"/>
      </w:pPr>
      <w:r>
        <w:t xml:space="preserve">Both arms receive the same virtual classroom programme, described using the TIDieR checklist in Table 1 [11]. The programme targets four academic interaction skills: answering when called on, asking the lecturer a question, joining a group discussion and giving a short presentation. Scenarios are set in a virtual university classroom whose class size (3 to 30 students), attention level, frequency of questions directed at the student and background noise can be adjusted. Practice proceeds through five levels: study room (answer a known question to three friendly classmates), seminar room (ask the lecturer a question), discussion table (share a view and disagree politely), lecture hall (a short presentation with questions) and the real class. Each session follows the same five steps: preview of the goal, settings and stop procedure; modelling of more than one acceptable strategy; rehearsal at adaptive difficulty; replay and reflection with the facilitator; and agreement of one small real-world task for the week. Motivational features are designed for adults: a free choice of added challenges, strategy cards unlocked with progress, comparison only with the participant's previous attempt and initial topics chosen by the participant. Eye contact and tone of voice are never scored, and more than one response is accepted as correct.</w:t>
      </w:r>
    </w:p>
    <w:p>
      <w:pPr>
        <w:spacing w:after="120" w:line="300"/>
        <w:jc w:val="both"/>
      </w:pPr>
      <w:r>
        <w:rPr>
          <w:b/>
          <w:bCs/>
        </w:rPr>
        <w:t xml:space="preserve">Immersive VR arm.</w:t>
      </w:r>
      <w:r>
        <w:t xml:space="preserve"> Participants use a head-mounted display in seated mode by default, in blocks of no more than 15 minutes separated by breaks. </w:t>
      </w:r>
      <w:r>
        <w:rPr>
          <w:b/>
          <w:bCs/>
        </w:rPr>
        <w:t xml:space="preserve">Screen-based arm.</w:t>
      </w:r>
      <w:r>
        <w:t xml:space="preserve"> Participants run the identical software on a standard computer monitor with mouse and keyboard, with the same session structure, timing, facilitator and real-world tasks.</w:t>
      </w:r>
    </w:p>
    <w:p>
      <w:pPr>
        <w:keepNext/>
        <w:spacing w:after="80" w:before="200"/>
      </w:pPr>
      <w:r>
        <w:rPr>
          <w:b/>
          <w:bCs/>
          <w:sz w:val="19"/>
          <w:szCs w:val="19"/>
        </w:rPr>
        <w:t xml:space="preserve">Table 1. Intervention description (TIDieR)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rPr>
          <w:tblHeader/>
        </w:trPr>
        <w:tc>
          <w:tcPr>
            <w:tcW w:type="dxa" w:w="20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TIDieR item</w:t>
            </w:r>
          </w:p>
        </w:tc>
        <w:tc>
          <w:tcPr>
            <w:tcW w:type="dxa" w:w="368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Immersive VR arm</w:t>
            </w:r>
          </w:p>
        </w:tc>
        <w:tc>
          <w:tcPr>
            <w:tcW w:type="dxa" w:w="368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Screen-based arm</w:t>
            </w:r>
          </w:p>
        </w:tc>
      </w:tr>
      <w:tr>
        <w:trPr>
          <w:cantSplit/>
        </w:trPr>
        <w:tc>
          <w:tcPr>
            <w:tcW w:type="dxa" w:w="20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1. Name</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Virtual classroom training, immersive delivery</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Virtual classroom training, screen delivery</w:t>
            </w:r>
          </w:p>
        </w:tc>
      </w:tr>
      <w:tr>
        <w:trPr>
          <w:cantSplit/>
        </w:trPr>
        <w:tc>
          <w:tcPr>
            <w:tcW w:type="dxa" w:w="20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2. Why</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Repeated, adjustable rehearsal of academic interaction in a realistic setting; immersion may increase presence and transfer</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Same rationale without immersion, isolating its contribution</w:t>
            </w:r>
          </w:p>
        </w:tc>
      </w:tr>
      <w:tr>
        <w:trPr>
          <w:cantSplit/>
        </w:trPr>
        <w:tc>
          <w:tcPr>
            <w:tcW w:type="dxa" w:w="20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3. What (materials)</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Virtual classroom software (Jordanian Arabic and English); session manual; strategy cards; weekly task sheet</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Identical software and materials</w:t>
            </w:r>
          </w:p>
        </w:tc>
      </w:tr>
      <w:tr>
        <w:trPr>
          <w:cantSplit/>
        </w:trPr>
        <w:tc>
          <w:tcPr>
            <w:tcW w:type="dxa" w:w="20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4. What (procedures)</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Five-step session: preview, model, rehearse, reflect, real-world task</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Identical</w:t>
            </w:r>
          </w:p>
        </w:tc>
      </w:tr>
      <w:tr>
        <w:trPr>
          <w:cantSplit/>
        </w:trPr>
        <w:tc>
          <w:tcPr>
            <w:tcW w:type="dxa" w:w="20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5. Who provides</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Trained facilitator from the study team</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Same pool of facilitators</w:t>
            </w:r>
          </w:p>
        </w:tc>
      </w:tr>
      <w:tr>
        <w:trPr>
          <w:cantSplit/>
        </w:trPr>
        <w:tc>
          <w:tcPr>
            <w:tcW w:type="dxa" w:w="20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6. How</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Individual, face to face, head-mounted display</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Individual, face to face, computer monitor</w:t>
            </w:r>
          </w:p>
        </w:tc>
      </w:tr>
      <w:tr>
        <w:trPr>
          <w:cantSplit/>
        </w:trPr>
        <w:tc>
          <w:tcPr>
            <w:tcW w:type="dxa" w:w="20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7. Where</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Dedicated room at [University]</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Same room</w:t>
            </w:r>
          </w:p>
        </w:tc>
      </w:tr>
      <w:tr>
        <w:trPr>
          <w:cantSplit/>
        </w:trPr>
        <w:tc>
          <w:tcPr>
            <w:tcW w:type="dxa" w:w="20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8. When and how much</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12 sessions, twice weekly for 6 weeks, about 40 minutes each; headset blocks of ≤15 minutes</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12 sessions, twice weekly for 6 weeks, about 40 minutes each</w:t>
            </w:r>
          </w:p>
        </w:tc>
      </w:tr>
      <w:tr>
        <w:trPr>
          <w:cantSplit/>
        </w:trPr>
        <w:tc>
          <w:tcPr>
            <w:tcW w:type="dxa" w:w="20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9. Tailoring</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Sensory settings, language, difficulty and topics adjusted to the participant</w:t>
            </w:r>
          </w:p>
        </w:tc>
        <w:tc>
          <w:tcPr>
            <w:tcW w:type="dxa" w:w="368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Identical</w:t>
            </w:r>
          </w:p>
        </w:tc>
      </w:tr>
      <w:tr>
        <w:trPr>
          <w:cantSplit/>
        </w:trPr>
        <w:tc>
          <w:tcPr>
            <w:tcW w:type="dxa" w:w="20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10–12. Modifications and fidelity</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Recorded in session logs; fidelity checklist completed for every session and 20% independently checked</w:t>
            </w:r>
          </w:p>
        </w:tc>
        <w:tc>
          <w:tcPr>
            <w:tcW w:type="dxa" w:w="368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Identical</w:t>
            </w:r>
          </w:p>
        </w:tc>
      </w:tr>
    </w:tbl>
    <w:p>
      <w:pPr>
        <w:spacing w:after="120"/>
      </w:pPr>
    </w:p>
    <w:p>
      <w:pPr>
        <w:spacing w:after="120" w:line="300"/>
        <w:jc w:val="both"/>
      </w:pPr>
      <w:r>
        <w:rPr>
          <w:b/>
          <w:bCs/>
        </w:rPr>
        <w:t xml:space="preserve">Criteria for discontinuing or modifying the intervention.</w:t>
      </w:r>
      <w:r>
        <w:t xml:space="preserve"> A session will be paused or stopped at the participant's request at any time, without penalty, or if the facilitator observes signs of distress, overload or cybersickness. In the VR arm, persistent discomfort will first be addressed by reducing motion, brightness and block length. If a participant in the VR arm cannot tolerate the headset, they may complete remaining sessions on screen; they will remain in their allocated group for analysis and the switch will be reported. Participants may withdraw from the intervention while continuing to provide outcome data.</w:t>
      </w:r>
    </w:p>
    <w:p>
      <w:pPr>
        <w:spacing w:after="120" w:line="300"/>
        <w:jc w:val="both"/>
      </w:pPr>
      <w:r>
        <w:rPr>
          <w:b/>
          <w:bCs/>
        </w:rPr>
        <w:t xml:space="preserve">Adherence.</w:t>
      </w:r>
      <w:r>
        <w:t xml:space="preserve"> Sessions will be scheduled around participants' timetables, with reminders the day before. Attendance, minutes of practice and completed real-world tasks will be logged automatically and by the facilitator.</w:t>
      </w:r>
    </w:p>
    <w:p>
      <w:pPr>
        <w:spacing w:after="120" w:line="300"/>
        <w:jc w:val="both"/>
      </w:pPr>
      <w:r>
        <w:rPr>
          <w:b/>
          <w:bCs/>
        </w:rPr>
        <w:t xml:space="preserve">Concomitant care.</w:t>
      </w:r>
      <w:r>
        <w:t xml:space="preserve"> Participants may continue to use all usual university support services. Participation in another structured social-communication or public-speaking programme during the trial is not permitted; concomitant support will be recorded at baseline and week 15.</w:t>
      </w:r>
    </w:p>
    <w:p>
      <w:pPr>
        <w:pStyle w:val="Heading2"/>
      </w:pPr>
      <w:r>
        <w:t xml:space="preserve">Outcomes</w:t>
      </w:r>
    </w:p>
    <w:p>
      <w:pPr>
        <w:spacing w:after="120" w:line="300"/>
        <w:jc w:val="both"/>
      </w:pPr>
      <w:r>
        <w:t xml:space="preserve">Outcomes, measurement variables, analysis metrics, methods of aggregation and time points are summarised in Table 2.</w:t>
      </w:r>
    </w:p>
    <w:p>
      <w:pPr>
        <w:keepNext/>
        <w:spacing w:after="80" w:before="200"/>
      </w:pPr>
      <w:r>
        <w:rPr>
          <w:b/>
          <w:bCs/>
          <w:sz w:val="19"/>
          <w:szCs w:val="19"/>
        </w:rPr>
        <w:t xml:space="preserve">Table 2. Outcomes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060"/>
        <w:gridCol w:w="2600"/>
        <w:gridCol w:w="1600"/>
      </w:tblGrid>
      <w:tr>
        <w:trPr>
          <w:tblHeader/>
        </w:trPr>
        <w:tc>
          <w:tcPr>
            <w:tcW w:type="dxa" w:w="21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Outcome</w:t>
            </w:r>
          </w:p>
        </w:tc>
        <w:tc>
          <w:tcPr>
            <w:tcW w:type="dxa" w:w="306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Measurement variable</w:t>
            </w:r>
          </w:p>
        </w:tc>
        <w:tc>
          <w:tcPr>
            <w:tcW w:type="dxa" w:w="26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Metric and aggregation</w:t>
            </w:r>
          </w:p>
        </w:tc>
        <w:tc>
          <w:tcPr>
            <w:tcW w:type="dxa" w:w="16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Time point</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b/>
                <w:bCs/>
                <w:sz w:val="18"/>
                <w:szCs w:val="18"/>
              </w:rPr>
              <w:t xml:space="preserve">Feasibility (primary objectives)</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Recruitment</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Eligible students who consent / students screened</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Proportion with 95% CI; participants per week</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Weeks 3–8</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Retention</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Participants completing the week-15 assessment</w:t>
            </w: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Proportion with 95% CI, by arm</w:t>
            </w: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Week 15</w:t>
            </w: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Adherence</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Sessions attended (of 12)</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Mean (SD); proportion attending ≥9</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Weeks 9–14</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Harms</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Adverse events; serious adverse events; sessions stopped for discomfort</w:t>
            </w: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Counts and proportions, by arm</w:t>
            </w: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Every session</w:t>
            </w: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Rater reliability</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Agreement between two raters on the seminar task</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ICC (two-way random, absolute agreement) with 95% CI</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Weeks 8, 15</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b/>
                <w:bCs/>
                <w:sz w:val="18"/>
                <w:szCs w:val="18"/>
              </w:rPr>
              <w:t xml:space="preserve">Candidate primary efficacy outcome</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Academic interaction</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Number of verbal contributions (answers, questions, discussion turns and clarification requests) in the standardised 15-minute seminar task</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Final value adjusted for baseline; mean (SD), adjusted mean difference with 95% CI</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 15 (baseline week 8)</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b/>
                <w:bCs/>
                <w:sz w:val="18"/>
                <w:szCs w:val="18"/>
              </w:rPr>
              <w:t xml:space="preserve">Secondary outcomes</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Presentation quality</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Public Speaking Competence Rubric total [12], nonverbal item adapted so that eye contact is not scored</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As above</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Weeks 8, 15</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Public-speaking anxiety</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Personal Report of Public Speaking Anxiety total [13]</w:t>
            </w: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As above</w:t>
            </w: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Weeks 8, 15, 16</w:t>
            </w: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Maintenance</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Verbal contributions in a parallel-form seminar task</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As above</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 16</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Real-class contributions</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Self-logged questions, answers or presentations in lectures</w:t>
            </w: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Count per week; median (IQR)</w:t>
            </w: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Weeks 15–16</w:t>
            </w:r>
          </w:p>
        </w:tc>
      </w:tr>
      <w:tr>
        <w:trPr>
          <w:cantSplit/>
        </w:trPr>
        <w:tc>
          <w:tcPr>
            <w:tcW w:type="dxa" w:w="21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Cybersickness</w:t>
            </w:r>
          </w:p>
        </w:tc>
        <w:tc>
          <w:tcPr>
            <w:tcW w:type="dxa" w:w="30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Simulator Sickness Questionnaire total [14]</w:t>
            </w:r>
          </w:p>
        </w:tc>
        <w:tc>
          <w:tcPr>
            <w:tcW w:type="dxa" w:w="2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Mean (SD) per session, by arm</w:t>
            </w:r>
          </w:p>
        </w:tc>
        <w:tc>
          <w:tcPr>
            <w:tcW w:type="dxa" w:w="16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Every session</w:t>
            </w:r>
          </w:p>
        </w:tc>
      </w:tr>
      <w:tr>
        <w:trPr>
          <w:cantSplit/>
        </w:trPr>
        <w:tc>
          <w:tcPr>
            <w:tcW w:type="dxa" w:w="21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Usability</w:t>
            </w:r>
          </w:p>
        </w:tc>
        <w:tc>
          <w:tcPr>
            <w:tcW w:type="dxa" w:w="30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System Usability Scale [15]</w:t>
            </w:r>
          </w:p>
        </w:tc>
        <w:tc>
          <w:tcPr>
            <w:tcW w:type="dxa" w:w="2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Mean (SD), by arm</w:t>
            </w:r>
          </w:p>
        </w:tc>
        <w:tc>
          <w:tcPr>
            <w:tcW w:type="dxa" w:w="16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Week 15</w:t>
            </w:r>
          </w:p>
        </w:tc>
      </w:tr>
    </w:tbl>
    <w:p>
      <w:pPr>
        <w:spacing w:after="120"/>
      </w:pPr>
    </w:p>
    <w:p>
      <w:pPr>
        <w:pStyle w:val="Heading2"/>
      </w:pPr>
      <w:r>
        <w:t xml:space="preserve">Harms</w:t>
      </w:r>
    </w:p>
    <w:p>
      <w:pPr>
        <w:spacing w:after="120" w:line="300"/>
        <w:jc w:val="both"/>
      </w:pPr>
      <w:r>
        <w:t xml:space="preserve">Harms will be assessed systematically. Before and after every session, participants complete the Simulator Sickness Questionnaire, and facilitators record any adverse event using a structured log covering nausea, dizziness, headache, eye strain, sensory overload, distress, shutdown or meltdown, and falls. An adverse event is any unfavourable experience during or within 24 hours of a session. A serious adverse event is any event that requires medical care or hospital admission. All events, their severity, relatedness and resolution will be reported by arm, including in participants who discontinue.</w:t>
      </w:r>
    </w:p>
    <w:p>
      <w:pPr>
        <w:pStyle w:val="Heading2"/>
      </w:pPr>
      <w:r>
        <w:t xml:space="preserve">Participant timeline</w:t>
      </w:r>
    </w:p>
    <w:p>
      <w:pPr>
        <w:spacing w:after="120" w:line="300"/>
        <w:jc w:val="both"/>
      </w:pPr>
      <w:r>
        <w:t xml:space="preserve">The schedule of enrolment, interventions and assessments is shown in Table 3.</w:t>
      </w:r>
    </w:p>
    <w:p>
      <w:pPr>
        <w:keepNext/>
        <w:spacing w:after="80" w:before="200"/>
      </w:pPr>
      <w:r>
        <w:rPr>
          <w:b/>
          <w:bCs/>
          <w:sz w:val="19"/>
          <w:szCs w:val="19"/>
        </w:rPr>
        <w:t xml:space="preserve">Table 3. Schedule of enrolment, interventions and assessments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1200"/>
        <w:gridCol w:w="1200"/>
        <w:gridCol w:w="1200"/>
        <w:gridCol w:w="1200"/>
        <w:gridCol w:w="1200"/>
      </w:tblGrid>
      <w:tr>
        <w:trPr>
          <w:tblHeader/>
        </w:trPr>
        <w:tc>
          <w:tcPr>
            <w:tcW w:type="dxa" w:w="336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p>
        </w:tc>
        <w:tc>
          <w:tcPr>
            <w:tcW w:type="dxa" w:w="1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center"/>
            </w:pPr>
            <w:r>
              <w:rPr>
                <w:b/>
                <w:bCs/>
                <w:color w:val="FFFFFF"/>
                <w:sz w:val="18"/>
                <w:szCs w:val="18"/>
              </w:rPr>
              <w:t xml:space="preserve">Enrolment</w:t>
            </w:r>
          </w:p>
          <w:p>
            <w:pPr>
              <w:spacing w:after="30"/>
              <w:jc w:val="center"/>
            </w:pPr>
            <w:r>
              <w:rPr>
                <w:b/>
                <w:bCs/>
                <w:color w:val="FFFFFF"/>
                <w:sz w:val="18"/>
                <w:szCs w:val="18"/>
              </w:rPr>
              <w:t xml:space="preserve">(wk 3–7)</w:t>
            </w:r>
          </w:p>
        </w:tc>
        <w:tc>
          <w:tcPr>
            <w:tcW w:type="dxa" w:w="1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center"/>
            </w:pPr>
            <w:r>
              <w:rPr>
                <w:b/>
                <w:bCs/>
                <w:color w:val="FFFFFF"/>
                <w:sz w:val="18"/>
                <w:szCs w:val="18"/>
              </w:rPr>
              <w:t xml:space="preserve">Allocation</w:t>
            </w:r>
          </w:p>
          <w:p>
            <w:pPr>
              <w:spacing w:after="30"/>
              <w:jc w:val="center"/>
            </w:pPr>
            <w:r>
              <w:rPr>
                <w:b/>
                <w:bCs/>
                <w:color w:val="FFFFFF"/>
                <w:sz w:val="18"/>
                <w:szCs w:val="18"/>
              </w:rPr>
              <w:t xml:space="preserve">(wk 8)</w:t>
            </w:r>
          </w:p>
        </w:tc>
        <w:tc>
          <w:tcPr>
            <w:tcW w:type="dxa" w:w="1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center"/>
            </w:pPr>
            <w:r>
              <w:rPr>
                <w:b/>
                <w:bCs/>
                <w:color w:val="FFFFFF"/>
                <w:sz w:val="18"/>
                <w:szCs w:val="18"/>
              </w:rPr>
              <w:t xml:space="preserve">Sessions</w:t>
            </w:r>
          </w:p>
          <w:p>
            <w:pPr>
              <w:spacing w:after="30"/>
              <w:jc w:val="center"/>
            </w:pPr>
            <w:r>
              <w:rPr>
                <w:b/>
                <w:bCs/>
                <w:color w:val="FFFFFF"/>
                <w:sz w:val="18"/>
                <w:szCs w:val="18"/>
              </w:rPr>
              <w:t xml:space="preserve">(wk 9–14)</w:t>
            </w:r>
          </w:p>
        </w:tc>
        <w:tc>
          <w:tcPr>
            <w:tcW w:type="dxa" w:w="1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center"/>
            </w:pPr>
            <w:r>
              <w:rPr>
                <w:b/>
                <w:bCs/>
                <w:color w:val="FFFFFF"/>
                <w:sz w:val="18"/>
                <w:szCs w:val="18"/>
              </w:rPr>
              <w:t xml:space="preserve">Post</w:t>
            </w:r>
          </w:p>
          <w:p>
            <w:pPr>
              <w:spacing w:after="30"/>
              <w:jc w:val="center"/>
            </w:pPr>
            <w:r>
              <w:rPr>
                <w:b/>
                <w:bCs/>
                <w:color w:val="FFFFFF"/>
                <w:sz w:val="18"/>
                <w:szCs w:val="18"/>
              </w:rPr>
              <w:t xml:space="preserve">(wk 15)</w:t>
            </w:r>
          </w:p>
        </w:tc>
        <w:tc>
          <w:tcPr>
            <w:tcW w:type="dxa" w:w="1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center"/>
            </w:pPr>
            <w:r>
              <w:rPr>
                <w:b/>
                <w:bCs/>
                <w:color w:val="FFFFFF"/>
                <w:sz w:val="18"/>
                <w:szCs w:val="18"/>
              </w:rPr>
              <w:t xml:space="preserve">Follow-up</w:t>
            </w:r>
          </w:p>
          <w:p>
            <w:pPr>
              <w:spacing w:after="30"/>
              <w:jc w:val="center"/>
            </w:pPr>
            <w:r>
              <w:rPr>
                <w:b/>
                <w:bCs/>
                <w:color w:val="FFFFFF"/>
                <w:sz w:val="18"/>
                <w:szCs w:val="18"/>
              </w:rPr>
              <w:t xml:space="preserve">(wk 16)</w:t>
            </w:r>
          </w:p>
        </w:tc>
      </w:tr>
      <w:tr>
        <w:trPr>
          <w:cantSplit/>
        </w:trPr>
        <w:tc>
          <w:tcPr>
            <w:tcW w:type="dxa" w:w="33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Eligibility screen</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Informed consent</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Demographics, concomitant support</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Allocation</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Immersive VR arm</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Screen-based arm</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Seminar task (verbal contributions, PSCR)</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r>
      <w:tr>
        <w:trPr>
          <w:cantSplit/>
        </w:trPr>
        <w:tc>
          <w:tcPr>
            <w:tcW w:type="dxa" w:w="33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PRPSA</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r>
      <w:tr>
        <w:trPr>
          <w:cantSplit/>
        </w:trPr>
        <w:tc>
          <w:tcPr>
            <w:tcW w:type="dxa" w:w="33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SSQ, adverse event log</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System Usability Scale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center"/>
            </w:pPr>
          </w:p>
        </w:tc>
      </w:tr>
      <w:tr>
        <w:trPr>
          <w:cantSplit/>
        </w:trPr>
        <w:tc>
          <w:tcPr>
            <w:tcW w:type="dxa" w:w="33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Real-class contribution log</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c>
          <w:tcPr>
            <w:tcW w:type="dxa" w:w="1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center"/>
            </w:pPr>
            <w:r>
              <w:rPr>
                <w:sz w:val="18"/>
                <w:szCs w:val="18"/>
              </w:rPr>
              <w:t xml:space="preserve">●</w:t>
            </w:r>
          </w:p>
        </w:tc>
      </w:tr>
    </w:tbl>
    <w:p>
      <w:pPr>
        <w:spacing w:after="160" w:before="60"/>
      </w:pPr>
      <w:r>
        <w:rPr>
          <w:color w:val="56606B"/>
          <w:sz w:val="18"/>
          <w:szCs w:val="18"/>
        </w:rPr>
        <w:t xml:space="preserve">† Verbal contributions only (parallel-form task). PRPSA, Personal Report of Public Speaking Anxiety; PSCR, Public Speaking Competence Rubric; SSQ, Simulator Sickness Questionnaire.</w:t>
      </w:r>
    </w:p>
    <w:p>
      <w:pPr>
        <w:pStyle w:val="Heading2"/>
      </w:pPr>
      <w:r>
        <w:t xml:space="preserve">Sample size</w:t>
      </w:r>
    </w:p>
    <w:p>
      <w:pPr>
        <w:spacing w:after="120" w:line="300"/>
        <w:jc w:val="both"/>
      </w:pPr>
      <w:r>
        <w:t xml:space="preserve">Consistent with the objectives of a pilot trial, the sample size is not based on a power calculation for efficacy. Twelve participants per arm (24 in total) follows the widely used rule of thumb for estimating the variance of a continuous outcome in pilot studies [16]. With 24 participants, a retention rate of 80% would be estimated with a 95% confidence interval of approximately ±16 percentage points. The observed standard deviation and baseline–outcome correlation will be used to calculate the sample size of the definitive trial.</w:t>
      </w:r>
    </w:p>
    <w:p>
      <w:pPr>
        <w:pStyle w:val="Heading2"/>
      </w:pPr>
      <w:r>
        <w:t xml:space="preserve">Recruitment</w:t>
      </w:r>
    </w:p>
    <w:p>
      <w:pPr>
        <w:spacing w:after="120" w:line="300"/>
        <w:jc w:val="both"/>
      </w:pPr>
      <w:r>
        <w:t xml:space="preserve">Participants will be recruited through the university's student services and disability support office, which will send study information to registered autistic students, and through posters and announcements in student spaces. Recruitment will begin in week 3, in parallel with software development, and will extend to nearby universities if fewer than 24 participants are enrolled by week 7. A screening log will record the number of students approached, screened, eligible and consenting, and reasons for non-participation.</w:t>
      </w:r>
    </w:p>
    <w:p>
      <w:pPr>
        <w:pStyle w:val="Heading2"/>
      </w:pPr>
      <w:r>
        <w:t xml:space="preserve">Assignment of interventions</w:t>
      </w:r>
    </w:p>
    <w:p>
      <w:pPr>
        <w:spacing w:after="120" w:line="300"/>
        <w:jc w:val="both"/>
      </w:pPr>
      <w:r>
        <w:rPr>
          <w:b/>
          <w:bCs/>
        </w:rPr>
        <w:t xml:space="preserve">Sequence generation.</w:t>
      </w:r>
      <w:r>
        <w:t xml:space="preserve"> A member of the team who is not involved in recruitment, delivery or rating will generate the allocation sequence by computer, using permuted blocks of varying size, with 1:1 allocation and no stratification. Block sizes will be held in a separate document unavailable to those who enrol participants.</w:t>
      </w:r>
    </w:p>
    <w:p>
      <w:pPr>
        <w:spacing w:after="120" w:line="300"/>
        <w:jc w:val="both"/>
      </w:pPr>
      <w:r>
        <w:rPr>
          <w:b/>
          <w:bCs/>
        </w:rPr>
        <w:t xml:space="preserve">Allocation concealment.</w:t>
      </w:r>
      <w:r>
        <w:t xml:space="preserve"> Allocations will be placed in sequentially numbered, opaque, sealed envelopes prepared by the same team member. </w:t>
      </w:r>
      <w:r>
        <w:rPr>
          <w:b/>
          <w:bCs/>
        </w:rPr>
        <w:t xml:space="preserve">Implementation.</w:t>
      </w:r>
      <w:r>
        <w:t xml:space="preserve"> The trial coordinator will enrol participants and open the next envelope only after the baseline assessment is complete; the coordinator will not have access to the sequence.</w:t>
      </w:r>
    </w:p>
    <w:p>
      <w:pPr>
        <w:spacing w:after="120" w:line="300"/>
        <w:jc w:val="both"/>
      </w:pPr>
      <w:r>
        <w:rPr>
          <w:b/>
          <w:bCs/>
        </w:rPr>
        <w:t xml:space="preserve">Blinding.</w:t>
      </w:r>
      <w:r>
        <w:t xml:space="preserve"> Participants and facilitators cannot be blinded to the display modality. The two raters of the seminar task will be blind to allocation: recordings will be labelled with codes only, show the participant in the real seminar room without any equipment, and be rated in random order with baseline and follow-up recordings mixed. Participants will be asked not to mention their training during the seminar task. The analyst will receive data with groups coded A and B until the primary analysis is complete. Raters will record their guess of each participant's group to assess blinding. Because raters have no role in participant safety, there are no circumstances that require unblinding them.</w:t>
      </w:r>
    </w:p>
    <w:p>
      <w:pPr>
        <w:pStyle w:val="Heading2"/>
      </w:pPr>
      <w:r>
        <w:t xml:space="preserve">Data collection, management and analysis</w:t>
      </w:r>
    </w:p>
    <w:p>
      <w:pPr>
        <w:spacing w:after="120" w:line="300"/>
        <w:jc w:val="both"/>
      </w:pPr>
      <w:r>
        <w:rPr>
          <w:b/>
          <w:bCs/>
        </w:rPr>
        <w:t xml:space="preserve">Data collection.</w:t>
      </w:r>
      <w:r>
        <w:t xml:space="preserve"> The seminar task is a standardised 15-minute session in a real seminar room in which team members act as lecturer and classmates following a script: a warm-up in which the lecturer asks two questions (minutes 0–3), an opening for the participant to ask a question (3–6), a group discussion (6–11), a 3-minute presentation by the participant on a topic agreed in advance (11–14) and questions on the presentation (14–15). Parallel forms with different topics will be used at each time point. Raters will be trained on five practice recordings until agreement reaches an ICC of at least 0.75 [17] before rating trial recordings. Questionnaires without validated Arabic versions will be translated and back-translated, with cognitive interviews during prototype testing.</w:t>
      </w:r>
    </w:p>
    <w:p>
      <w:pPr>
        <w:spacing w:after="120" w:line="300"/>
        <w:jc w:val="both"/>
      </w:pPr>
      <w:r>
        <w:rPr>
          <w:b/>
          <w:bCs/>
        </w:rPr>
        <w:t xml:space="preserve">Retention.</w:t>
      </w:r>
      <w:r>
        <w:t xml:space="preserve"> Assessments will be scheduled flexibly, participants will receive reminders, and they will receive [a modest voucher] for each completed assessment. Outcome data will be sought from all participants, including those who stop the intervention.</w:t>
      </w:r>
    </w:p>
    <w:p>
      <w:pPr>
        <w:spacing w:after="120" w:line="300"/>
        <w:jc w:val="both"/>
      </w:pPr>
      <w:r>
        <w:rPr>
          <w:b/>
          <w:bCs/>
        </w:rPr>
        <w:t xml:space="preserve">Data management.</w:t>
      </w:r>
      <w:r>
        <w:t xml:space="preserve"> Data will be entered into a password-protected database on an encrypted university computer, with range checks on entry and a double-entry check of 10% of records. Identifying information will be stored separately from study data and linked only by participant code.</w:t>
      </w:r>
    </w:p>
    <w:p>
      <w:pPr>
        <w:spacing w:after="120" w:line="300"/>
        <w:jc w:val="both"/>
      </w:pPr>
      <w:r>
        <w:rPr>
          <w:b/>
          <w:bCs/>
        </w:rPr>
        <w:t xml:space="preserve">Statistical methods.</w:t>
      </w:r>
      <w:r>
        <w:t xml:space="preserve"> Feasibility outcomes will be reported descriptively with 95% confidence intervals and compared with the progression criteria in Table 4. For the candidate primary efficacy outcome and continuous secondary outcomes, the between-arm difference at week 15 will be estimated by analysis of covariance with the baseline value as a covariate, reported as an adjusted mean difference with a 95% confidence interval and a standardised effect size. Count outcomes will be summarised descriptively. Harms will be reported by arm. Given the pilot design, no hypothesis tests will be used to judge effectiveness [10].</w:t>
      </w:r>
    </w:p>
    <w:p>
      <w:pPr>
        <w:spacing w:after="120" w:line="300"/>
        <w:jc w:val="both"/>
      </w:pPr>
      <w:r>
        <w:rPr>
          <w:b/>
          <w:bCs/>
        </w:rPr>
        <w:t xml:space="preserve">Analysis populations.</w:t>
      </w:r>
      <w:r>
        <w:t xml:space="preserve"> The primary analysis will include all randomised participants in the group to which they were allocated (intention to treat). A per-protocol analysis restricted to participants attending at least 9 sessions will be reported as a sensitivity analysis.</w:t>
      </w:r>
    </w:p>
    <w:p>
      <w:pPr>
        <w:spacing w:after="120" w:line="300"/>
        <w:jc w:val="both"/>
      </w:pPr>
      <w:r>
        <w:rPr>
          <w:b/>
          <w:bCs/>
        </w:rPr>
        <w:t xml:space="preserve">Missing data.</w:t>
      </w:r>
      <w:r>
        <w:t xml:space="preserve"> The extent and pattern of missing data will be reported by arm. The primary analysis will use available data; a sensitivity analysis will use multiple imputation under a missing-at-random assumption.</w:t>
      </w:r>
    </w:p>
    <w:p>
      <w:pPr>
        <w:spacing w:after="120" w:line="300"/>
        <w:jc w:val="both"/>
      </w:pPr>
      <w:r>
        <w:rPr>
          <w:b/>
          <w:bCs/>
        </w:rPr>
        <w:t xml:space="preserve">Additional analyses.</w:t>
      </w:r>
      <w:r>
        <w:t xml:space="preserve"> No subgroup analyses are planned, because the sample is too small to support them. The proportion of correct group guesses by raters will be reported.</w:t>
      </w:r>
    </w:p>
    <w:p>
      <w:pPr>
        <w:keepNext/>
        <w:spacing w:after="80" w:before="200"/>
      </w:pPr>
      <w:r>
        <w:rPr>
          <w:b/>
          <w:bCs/>
          <w:sz w:val="19"/>
          <w:szCs w:val="19"/>
        </w:rPr>
        <w:t xml:space="preserve">Table 4. Progression criteria for a definitive trial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2160"/>
        <w:gridCol w:w="2150"/>
        <w:gridCol w:w="2150"/>
      </w:tblGrid>
      <w:tr>
        <w:trPr>
          <w:tblHeader/>
        </w:trPr>
        <w:tc>
          <w:tcPr>
            <w:tcW w:type="dxa" w:w="29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Criterion</w:t>
            </w:r>
          </w:p>
        </w:tc>
        <w:tc>
          <w:tcPr>
            <w:tcW w:type="dxa" w:w="216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Proceed</w:t>
            </w:r>
          </w:p>
        </w:tc>
        <w:tc>
          <w:tcPr>
            <w:tcW w:type="dxa" w:w="215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Proceed with changes</w:t>
            </w:r>
          </w:p>
        </w:tc>
        <w:tc>
          <w:tcPr>
            <w:tcW w:type="dxa" w:w="215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Do not proceed without redesign</w:t>
            </w:r>
          </w:p>
        </w:tc>
      </w:tr>
      <w:tr>
        <w:trPr>
          <w:cantSplit/>
        </w:trPr>
        <w:tc>
          <w:tcPr>
            <w:tcW w:type="dxa" w:w="29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Recruitment</w:t>
            </w:r>
          </w:p>
        </w:tc>
        <w:tc>
          <w:tcPr>
            <w:tcW w:type="dxa" w:w="2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24 randomised by week 8</w:t>
            </w:r>
          </w:p>
        </w:tc>
        <w:tc>
          <w:tcPr>
            <w:tcW w:type="dxa" w:w="215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18–23</w:t>
            </w:r>
          </w:p>
        </w:tc>
        <w:tc>
          <w:tcPr>
            <w:tcW w:type="dxa" w:w="215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&lt;18</w:t>
            </w:r>
          </w:p>
        </w:tc>
      </w:tr>
      <w:tr>
        <w:trPr>
          <w:cantSplit/>
        </w:trPr>
        <w:tc>
          <w:tcPr>
            <w:tcW w:type="dxa" w:w="29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Retention to week 15</w:t>
            </w:r>
          </w:p>
        </w:tc>
        <w:tc>
          <w:tcPr>
            <w:tcW w:type="dxa" w:w="2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≥80%</w:t>
            </w:r>
          </w:p>
        </w:tc>
        <w:tc>
          <w:tcPr>
            <w:tcW w:type="dxa" w:w="215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65–79%</w:t>
            </w:r>
          </w:p>
        </w:tc>
        <w:tc>
          <w:tcPr>
            <w:tcW w:type="dxa" w:w="215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&lt;65%</w:t>
            </w:r>
          </w:p>
        </w:tc>
      </w:tr>
      <w:tr>
        <w:trPr>
          <w:cantSplit/>
        </w:trPr>
        <w:tc>
          <w:tcPr>
            <w:tcW w:type="dxa" w:w="29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Adherence (≥9 of 12 sessions)</w:t>
            </w:r>
          </w:p>
        </w:tc>
        <w:tc>
          <w:tcPr>
            <w:tcW w:type="dxa" w:w="2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≥75% of participants</w:t>
            </w:r>
          </w:p>
        </w:tc>
        <w:tc>
          <w:tcPr>
            <w:tcW w:type="dxa" w:w="215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60–74%</w:t>
            </w:r>
          </w:p>
        </w:tc>
        <w:tc>
          <w:tcPr>
            <w:tcW w:type="dxa" w:w="215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&lt;60%</w:t>
            </w:r>
          </w:p>
        </w:tc>
      </w:tr>
      <w:tr>
        <w:trPr>
          <w:cantSplit/>
        </w:trPr>
        <w:tc>
          <w:tcPr>
            <w:tcW w:type="dxa" w:w="29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Serious adverse events related to the intervention</w:t>
            </w:r>
          </w:p>
        </w:tc>
        <w:tc>
          <w:tcPr>
            <w:tcW w:type="dxa" w:w="2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None</w:t>
            </w:r>
          </w:p>
        </w:tc>
        <w:tc>
          <w:tcPr>
            <w:tcW w:type="dxa" w:w="215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t>
            </w:r>
          </w:p>
        </w:tc>
        <w:tc>
          <w:tcPr>
            <w:tcW w:type="dxa" w:w="215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Any</w:t>
            </w:r>
          </w:p>
        </w:tc>
      </w:tr>
      <w:tr>
        <w:trPr>
          <w:cantSplit/>
        </w:trPr>
        <w:tc>
          <w:tcPr>
            <w:tcW w:type="dxa" w:w="29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Rater reliability (ICC)</w:t>
            </w:r>
          </w:p>
        </w:tc>
        <w:tc>
          <w:tcPr>
            <w:tcW w:type="dxa" w:w="2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≥0.75</w:t>
            </w:r>
          </w:p>
        </w:tc>
        <w:tc>
          <w:tcPr>
            <w:tcW w:type="dxa" w:w="215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0.60–0.74</w:t>
            </w:r>
          </w:p>
        </w:tc>
        <w:tc>
          <w:tcPr>
            <w:tcW w:type="dxa" w:w="215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&lt;0.60</w:t>
            </w:r>
          </w:p>
        </w:tc>
      </w:tr>
    </w:tbl>
    <w:p>
      <w:pPr>
        <w:spacing w:after="120"/>
      </w:pPr>
    </w:p>
    <w:p>
      <w:pPr>
        <w:pStyle w:val="Heading2"/>
      </w:pPr>
      <w:r>
        <w:t xml:space="preserve">Monitoring</w:t>
      </w:r>
    </w:p>
    <w:p>
      <w:pPr>
        <w:spacing w:after="120" w:line="300"/>
        <w:jc w:val="both"/>
      </w:pPr>
      <w:r>
        <w:rPr>
          <w:b/>
          <w:bCs/>
        </w:rPr>
        <w:t xml:space="preserve">Data monitoring committee.</w:t>
      </w:r>
      <w:r>
        <w:t xml:space="preserve"> A formal data monitoring committee is not considered necessary because the intervention is low risk, the trial is short and small, and participants are monitored at every session. Instead, an independent faculty member with expertise in research ethics, who is not involved in the trial, will review adverse events and protocol adherence monthly and may recommend pausing the trial. </w:t>
      </w:r>
      <w:r>
        <w:rPr>
          <w:b/>
          <w:bCs/>
        </w:rPr>
        <w:t xml:space="preserve">Interim analyses.</w:t>
      </w:r>
      <w:r>
        <w:t xml:space="preserve"> No interim analyses of efficacy are planned. The trial will be paused if any serious adverse event related to the intervention occurs, pending review.</w:t>
      </w:r>
    </w:p>
    <w:p>
      <w:pPr>
        <w:spacing w:after="120" w:line="300"/>
        <w:jc w:val="both"/>
      </w:pPr>
      <w:r>
        <w:rPr>
          <w:b/>
          <w:bCs/>
        </w:rPr>
        <w:t xml:space="preserve">Trial monitoring.</w:t>
      </w:r>
      <w:r>
        <w:t xml:space="preserve"> The trial management group will review recruitment, attendance, fidelity and adverse events weekly. The independent faculty member will check consent forms, eligibility and adverse event records for all participants.</w:t>
      </w:r>
    </w:p>
    <w:p>
      <w:pPr>
        <w:pStyle w:val="Heading1"/>
      </w:pPr>
      <w:r>
        <w:t xml:space="preserve">Ethics and dissemination</w:t>
      </w:r>
    </w:p>
    <w:p>
      <w:pPr>
        <w:spacing w:after="120" w:line="300"/>
        <w:jc w:val="both"/>
      </w:pPr>
      <w:r>
        <w:rPr>
          <w:b/>
          <w:bCs/>
        </w:rPr>
        <w:t xml:space="preserve">Research ethics approval.</w:t>
      </w:r>
      <w:r>
        <w:t xml:space="preserve"> The protocol will be submitted to the Institutional Review Board of [University] before any participant is approached; recruitment will not begin until approval is granted. The approval reference will be added to this protocol.</w:t>
      </w:r>
    </w:p>
    <w:p>
      <w:pPr>
        <w:spacing w:after="120" w:line="300"/>
        <w:jc w:val="both"/>
      </w:pPr>
      <w:r>
        <w:rPr>
          <w:b/>
          <w:bCs/>
        </w:rPr>
        <w:t xml:space="preserve">Protocol amendments.</w:t>
      </w:r>
      <w:r>
        <w:t xml:space="preserve"> Important modifications will be submitted to the Institutional Review Board for approval, updated in the trial registry and OSF record with a new version number, and reported in the results publication.</w:t>
      </w:r>
    </w:p>
    <w:p>
      <w:pPr>
        <w:spacing w:after="120" w:line="300"/>
        <w:jc w:val="both"/>
      </w:pPr>
      <w:r>
        <w:rPr>
          <w:b/>
          <w:bCs/>
        </w:rPr>
        <w:t xml:space="preserve">Consent.</w:t>
      </w:r>
      <w:r>
        <w:t xml:space="preserve"> A trained team member who does not deliver sessions to the participant will obtain written informed consent. Information will be provided in accessible Arabic and English, with an easy-read summary, and participants will have at least 48 hours to decide and may bring a trusted person. Separate consent will be sought for video recording of the seminar tasks. Participation or withdrawal will not affect a student's grades or access to university services. No ancillary studies or biological specimens are planned.</w:t>
      </w:r>
    </w:p>
    <w:p>
      <w:pPr>
        <w:spacing w:after="120" w:line="300"/>
        <w:jc w:val="both"/>
      </w:pPr>
      <w:r>
        <w:rPr>
          <w:b/>
          <w:bCs/>
        </w:rPr>
        <w:t xml:space="preserve">Confidentiality.</w:t>
      </w:r>
      <w:r>
        <w:t xml:space="preserve"> Data will be stored on encrypted, password-protected university computers in accordance with Jordan's Personal Data Protection Law, with access limited to the study team. Video recordings will be stored separately, used only for rating and deleted after rating and verification. No identifiable information will appear in any report.</w:t>
      </w:r>
    </w:p>
    <w:p>
      <w:pPr>
        <w:spacing w:after="120" w:line="300"/>
        <w:jc w:val="both"/>
      </w:pPr>
      <w:r>
        <w:rPr>
          <w:b/>
          <w:bCs/>
        </w:rPr>
        <w:t xml:space="preserve">Ancillary and post-trial care.</w:t>
      </w:r>
      <w:r>
        <w:t xml:space="preserve"> Participants who experience distress will be offered immediate support and referral to the university counselling service. After the trial, participants in both arms will be offered access to the software. [Insurance and compensation arrangements for harm, as required by the sponsor.]</w:t>
      </w:r>
    </w:p>
    <w:p>
      <w:pPr>
        <w:pStyle w:val="Heading1"/>
      </w:pPr>
      <w:r>
        <w:t xml:space="preserve">Discussion</w:t>
      </w:r>
    </w:p>
    <w:p>
      <w:pPr>
        <w:spacing w:after="120" w:line="300"/>
        <w:jc w:val="both"/>
      </w:pPr>
      <w:r>
        <w:t xml:space="preserve">This pilot trial addresses a practical question for universities: whether immersive VR adds value over the same training delivered on an ordinary screen. By holding software, content, facilitator time and real-world tasks constant across arms, the design isolates the effect of immersion, which most previous studies could not separate from attention and practice [5,6]. By measuring behaviour in a real seminar room, rated blind from video, it addresses the transfer gap that limits the existing literature [5,7].</w:t>
      </w:r>
    </w:p>
    <w:p>
      <w:pPr>
        <w:spacing w:after="120" w:line="300"/>
        <w:jc w:val="both"/>
      </w:pPr>
      <w:r>
        <w:t xml:space="preserve">The design has strengths. It uses an active, dose-matched comparator, blinded outcome assessment, pre-specified progression criteria, systematic assessment of harms and a neuroaffirming approach in which eye contact and tone are not scored. It is also the first trial of its kind in an Arabic-speaking setting, with bilingual content developed for Jordanian students.</w:t>
      </w:r>
    </w:p>
    <w:p>
      <w:pPr>
        <w:spacing w:after="120" w:line="300"/>
        <w:jc w:val="both"/>
      </w:pPr>
      <w:r>
        <w:t xml:space="preserve">There are limitations. The sample is small and drawn from a single site, so efficacy estimates will be imprecise and are intended only to inform a definitive trial. Follow-up is limited to two weeks after the intervention, so durability cannot be assessed. Participants and facilitators cannot be blinded, and self-logged real-class contributions may be subject to reporting bias. Software development and recruitment run in parallel within a short time frame, which is a risk mitigated by building a single module and freezing features in week 7.</w:t>
      </w:r>
    </w:p>
    <w:p>
      <w:pPr>
        <w:spacing w:after="120" w:line="300"/>
        <w:jc w:val="both"/>
      </w:pPr>
      <w:r>
        <w:t xml:space="preserve">If the progression criteria are met, the trial will provide the estimates needed to power a definitive multi-site trial, which could add a usual-support arm and longer follow-up. Whatever its result, the trial will indicate whether universities should invest in immersive headsets or in screen-based tools to support autistic students' participation in class.</w:t>
      </w:r>
    </w:p>
    <w:p>
      <w:pPr>
        <w:pStyle w:val="Heading1"/>
      </w:pPr>
      <w:r>
        <w:t xml:space="preserve">Declarations</w:t>
      </w:r>
    </w:p>
    <w:p>
      <w:pPr>
        <w:spacing w:after="120" w:line="300"/>
        <w:jc w:val="both"/>
      </w:pPr>
      <w:r>
        <w:rPr>
          <w:b/>
          <w:bCs/>
        </w:rPr>
        <w:t xml:space="preserve">Ethics approval and consent to participate:</w:t>
      </w:r>
      <w:r>
        <w:t xml:space="preserve"> see Ethics and dissemination; approval reference [pending]. </w:t>
      </w:r>
      <w:r>
        <w:rPr>
          <w:b/>
          <w:bCs/>
        </w:rPr>
        <w:t xml:space="preserve">Consent for publication:</w:t>
      </w:r>
      <w:r>
        <w:t xml:space="preserve"> not applicable. </w:t>
      </w:r>
      <w:r>
        <w:rPr>
          <w:b/>
          <w:bCs/>
        </w:rPr>
        <w:t xml:space="preserve">Availability of data and materials:</w:t>
      </w:r>
      <w:r>
        <w:t xml:space="preserve"> see Data sharing. </w:t>
      </w:r>
      <w:r>
        <w:rPr>
          <w:b/>
          <w:bCs/>
        </w:rPr>
        <w:t xml:space="preserve">Competing interests:</w:t>
      </w:r>
      <w:r>
        <w:t xml:space="preserve"> none declared. </w:t>
      </w:r>
      <w:r>
        <w:rPr>
          <w:b/>
          <w:bCs/>
        </w:rPr>
        <w:t xml:space="preserve">Funding:</w:t>
      </w:r>
      <w:r>
        <w:t xml:space="preserve"> [statement]. </w:t>
      </w:r>
      <w:r>
        <w:rPr>
          <w:b/>
          <w:bCs/>
        </w:rPr>
        <w:t xml:space="preserve">Authors' contributions:</w:t>
      </w:r>
      <w:r>
        <w:t xml:space="preserve"> see Administrative information. </w:t>
      </w:r>
      <w:r>
        <w:rPr>
          <w:b/>
          <w:bCs/>
        </w:rPr>
        <w:t xml:space="preserve">Acknowledgements:</w:t>
      </w:r>
      <w:r>
        <w:t xml:space="preserve"> [to be completed].</w:t>
      </w:r>
    </w:p>
    <w:p>
      <w:pPr>
        <w:pStyle w:val="Heading1"/>
      </w:pPr>
      <w:r>
        <w:t xml:space="preserve">References</w:t>
      </w:r>
    </w:p>
    <w:p>
      <w:pPr>
        <w:spacing w:after="80"/>
        <w:ind w:left="440" w:hanging="440"/>
      </w:pPr>
      <w:r>
        <w:rPr>
          <w:sz w:val="19"/>
          <w:szCs w:val="19"/>
        </w:rPr>
        <w:t xml:space="preserve">1. Koops I, Duckett P, Gerace A. Investigating the outcomes and quality of support programs for autistic young adults in higher education: a systematic review. Autism Adulthood. 2025;7(4):403–420. doi:10.1089/aut.2024.0078</w:t>
      </w:r>
    </w:p>
    <w:p>
      <w:pPr>
        <w:spacing w:after="80"/>
        <w:ind w:left="440" w:hanging="440"/>
      </w:pPr>
      <w:r>
        <w:rPr>
          <w:sz w:val="19"/>
          <w:szCs w:val="19"/>
        </w:rPr>
        <w:t xml:space="preserve">2. Cage E, McManemy E. Burnt out and dropping out: a comparison of the experiences of autistic and non-autistic students during the COVID-19 pandemic. Front Psychol. 2022;12:792945. doi:10.3389/fpsyg.2021.792945</w:t>
      </w:r>
    </w:p>
    <w:p>
      <w:pPr>
        <w:spacing w:after="80"/>
        <w:ind w:left="440" w:hanging="440"/>
      </w:pPr>
      <w:r>
        <w:rPr>
          <w:sz w:val="19"/>
          <w:szCs w:val="19"/>
        </w:rPr>
        <w:t xml:space="preserve">3. Al-Hendawi M, Hussein E, Al Ghafri B, Bulut S. A scoping review of studies on assistive technology interventions and their impact on individuals with autism spectrum disorder in Arab countries. Children. 2023;10(11):1828.</w:t>
      </w:r>
    </w:p>
    <w:p>
      <w:pPr>
        <w:spacing w:after="80"/>
        <w:ind w:left="440" w:hanging="440"/>
      </w:pPr>
      <w:r>
        <w:rPr>
          <w:sz w:val="19"/>
          <w:szCs w:val="19"/>
        </w:rPr>
        <w:t xml:space="preserve">4. Smith MJ, Sherwood K, Ross B, et al. Virtual interview training for autistic transition age youth: a randomized controlled feasibility and effectiveness trial. Autism. 2021;25(6):1536–1552. doi:10.1177/1362361321989928</w:t>
      </w:r>
    </w:p>
    <w:p>
      <w:pPr>
        <w:spacing w:after="80"/>
        <w:ind w:left="440" w:hanging="440"/>
      </w:pPr>
      <w:r>
        <w:rPr>
          <w:sz w:val="19"/>
          <w:szCs w:val="19"/>
        </w:rPr>
        <w:t xml:space="preserve">5. Li C, Belter M, Liu J, Lukosch H. Immersive virtual reality enabled interventions for autism spectrum disorder: a systematic review and meta-analysis. Electronics. 2023;12(11):2497. doi:10.3390/electronics12112497</w:t>
      </w:r>
    </w:p>
    <w:p>
      <w:pPr>
        <w:spacing w:after="80"/>
        <w:ind w:left="440" w:hanging="440"/>
      </w:pPr>
      <w:r>
        <w:rPr>
          <w:sz w:val="19"/>
          <w:szCs w:val="19"/>
        </w:rPr>
        <w:t xml:space="preserve">6. Karami B, Koushki R, Arabgol F, Rahmani M, Vahabie AH. Effectiveness of virtual/augmented reality-based therapeutic interventions on individuals with autism spectrum disorder: a comprehensive meta-analysis. Front Psychiatry. 2021;12:665326. doi:10.3389/fpsyt.2021.665326</w:t>
      </w:r>
    </w:p>
    <w:p>
      <w:pPr>
        <w:spacing w:after="80"/>
        <w:ind w:left="440" w:hanging="440"/>
      </w:pPr>
      <w:r>
        <w:rPr>
          <w:sz w:val="19"/>
          <w:szCs w:val="19"/>
        </w:rPr>
        <w:t xml:space="preserve">7. Ip HHS, Wong SWL, Chan DFY, et al. Enhance emotional and social adaptation skills for children with autism spectrum disorder: a virtual reality enabled approach. Comput Educ. 2018;117:1–15. doi:10.1016/j.compedu.2017.09.010</w:t>
      </w:r>
    </w:p>
    <w:p>
      <w:pPr>
        <w:spacing w:after="80"/>
        <w:ind w:left="440" w:hanging="440"/>
      </w:pPr>
      <w:r>
        <w:rPr>
          <w:sz w:val="19"/>
          <w:szCs w:val="19"/>
        </w:rPr>
        <w:t xml:space="preserve">8. Reeves R, Curran D, Gleeson A, Hanna D. A meta-analysis of the efficacy of virtual reality and in vivo exposure therapy as psychological interventions for public speaking anxiety. Behav Modif. 2022. doi:10.1177/0145445521991102</w:t>
      </w:r>
    </w:p>
    <w:p>
      <w:pPr>
        <w:spacing w:after="80"/>
        <w:ind w:left="440" w:hanging="440"/>
      </w:pPr>
      <w:r>
        <w:rPr>
          <w:sz w:val="19"/>
          <w:szCs w:val="19"/>
        </w:rPr>
        <w:t xml:space="preserve">9. Kumazaki H, Sumiyoshi T, Yamagata B, Muramatsu T, Mimura M, Kikuchi M. Impact of autism-focused public speech training using simple virtual audience [conference abstract]. INSAR 2019 Annual Meeting; 2019.</w:t>
      </w:r>
    </w:p>
    <w:p>
      <w:pPr>
        <w:spacing w:after="80"/>
        <w:ind w:left="440" w:hanging="440"/>
      </w:pPr>
      <w:r>
        <w:rPr>
          <w:sz w:val="19"/>
          <w:szCs w:val="19"/>
        </w:rPr>
        <w:t xml:space="preserve">10. Eldridge SM, Chan CL, Campbell MJ, et al. CONSORT 2010 statement: extension to randomised pilot and feasibility trials. BMJ. 2016;355:i5239. doi:10.1136/bmj.i5239</w:t>
      </w:r>
    </w:p>
    <w:p>
      <w:pPr>
        <w:spacing w:after="80"/>
        <w:ind w:left="440" w:hanging="440"/>
      </w:pPr>
      <w:r>
        <w:rPr>
          <w:sz w:val="19"/>
          <w:szCs w:val="19"/>
        </w:rPr>
        <w:t xml:space="preserve">11. Hoffmann TC, Glasziou PP, Boutron I, et al. Better reporting of interventions: template for intervention description and replication (TIDieR) checklist and guide. BMJ. 2014;348:g1687. doi:10.1136/bmj.g1687</w:t>
      </w:r>
    </w:p>
    <w:p>
      <w:pPr>
        <w:spacing w:after="80"/>
        <w:ind w:left="440" w:hanging="440"/>
      </w:pPr>
      <w:r>
        <w:rPr>
          <w:sz w:val="19"/>
          <w:szCs w:val="19"/>
        </w:rPr>
        <w:t xml:space="preserve">12. Schreiber LM, Paul GD, Shibley LR. The development and test of the Public Speaking Competence Rubric. Commun Educ. 2012;61(3):205–233.</w:t>
      </w:r>
    </w:p>
    <w:p>
      <w:pPr>
        <w:spacing w:after="80"/>
        <w:ind w:left="440" w:hanging="440"/>
      </w:pPr>
      <w:r>
        <w:rPr>
          <w:sz w:val="19"/>
          <w:szCs w:val="19"/>
        </w:rPr>
        <w:t xml:space="preserve">13. McCroskey JC. Measures of communication-bound anxiety. Speech Monogr. 1970;37(4):269–277.</w:t>
      </w:r>
    </w:p>
    <w:p>
      <w:pPr>
        <w:spacing w:after="80"/>
        <w:ind w:left="440" w:hanging="440"/>
      </w:pPr>
      <w:r>
        <w:rPr>
          <w:sz w:val="19"/>
          <w:szCs w:val="19"/>
        </w:rPr>
        <w:t xml:space="preserve">14. Kennedy RS, Lane NE, Berbaum KS, Lilienthal MG. Simulator Sickness Questionnaire: an enhanced method for quantifying simulator sickness. Int J Aviat Psychol. 1993;3(3):203–220.</w:t>
      </w:r>
    </w:p>
    <w:p>
      <w:pPr>
        <w:spacing w:after="80"/>
        <w:ind w:left="440" w:hanging="440"/>
      </w:pPr>
      <w:r>
        <w:rPr>
          <w:sz w:val="19"/>
          <w:szCs w:val="19"/>
        </w:rPr>
        <w:t xml:space="preserve">15. Brooke J. SUS: a "quick and dirty" usability scale. In: Jordan PW, et al., eds. Usability Evaluation in Industry. Taylor &amp; Francis; 1996:189–194.</w:t>
      </w:r>
    </w:p>
    <w:p>
      <w:pPr>
        <w:spacing w:after="80"/>
        <w:ind w:left="440" w:hanging="440"/>
      </w:pPr>
      <w:r>
        <w:rPr>
          <w:sz w:val="19"/>
          <w:szCs w:val="19"/>
        </w:rPr>
        <w:t xml:space="preserve">16. Julious SA. Sample size of 12 per group rule of thumb for a pilot study. Pharm Stat. 2005;4(4):287–291. doi:10.1002/pst.185</w:t>
      </w:r>
    </w:p>
    <w:p>
      <w:pPr>
        <w:spacing w:after="80"/>
        <w:ind w:left="440" w:hanging="440"/>
      </w:pPr>
      <w:r>
        <w:rPr>
          <w:sz w:val="19"/>
          <w:szCs w:val="19"/>
        </w:rPr>
        <w:t xml:space="preserve">17. Koo TK, Li MY. A guideline of selecting and reporting intraclass correlation coefficients for reliability research. J Chiropr Med. 2016;15(2):155–163. doi:10.1016/j.jcm.2016.02.012</w:t>
      </w:r>
    </w:p>
    <w:p>
      <w:pPr>
        <w:spacing w:after="80"/>
        <w:ind w:left="440" w:hanging="440"/>
      </w:pPr>
      <w:r>
        <w:rPr>
          <w:sz w:val="19"/>
          <w:szCs w:val="19"/>
        </w:rPr>
        <w:t xml:space="preserve">18. Chan AW, Boutron I, Hopewell S, et al. SPIRIT 2025 statement: updated guideline for protocols of randomised trials. BMJ. 2025;389:e081477. doi:10.1136/bmj-2024-081477</w:t>
      </w:r>
    </w:p>
    <w:p>
      <w:r>
        <w:br w:type="page"/>
      </w:r>
    </w:p>
    <w:p>
      <w:pPr>
        <w:pStyle w:val="Heading1"/>
      </w:pPr>
      <w:r>
        <w:t xml:space="preserve">Supplementary Table S2. SPIRIT 2025 checklist</w:t>
      </w:r>
    </w:p>
    <w:p>
      <w:pPr>
        <w:spacing w:after="160" w:before="60"/>
      </w:pPr>
      <w:r>
        <w:rPr>
          <w:color w:val="56606B"/>
          <w:sz w:val="18"/>
          <w:szCs w:val="18"/>
        </w:rPr>
        <w:t xml:space="preserve">All 53 SPIRIT 2025 item entries (34 numbered items) are addressed. Item wording abbreviated; see Chan et al., 2025 [18].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4860"/>
        <w:gridCol w:w="3700"/>
      </w:tblGrid>
      <w:tr>
        <w:trPr>
          <w:tblHeader/>
        </w:trPr>
        <w:tc>
          <w:tcPr>
            <w:tcW w:type="dxa" w:w="8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7"/>
                <w:szCs w:val="17"/>
              </w:rPr>
              <w:t xml:space="preserve">Item</w:t>
            </w:r>
          </w:p>
        </w:tc>
        <w:tc>
          <w:tcPr>
            <w:tcW w:type="dxa" w:w="486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7"/>
                <w:szCs w:val="17"/>
              </w:rPr>
              <w:t xml:space="preserve">Description</w:t>
            </w:r>
          </w:p>
        </w:tc>
        <w:tc>
          <w:tcPr>
            <w:tcW w:type="dxa" w:w="37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7"/>
                <w:szCs w:val="17"/>
              </w:rPr>
              <w:t xml:space="preserve">Where addressed</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1a</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Title: design, population, interventions; identified as protocol</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Title page</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1b</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Structured summary incl. WHO Trial Registration Data Set</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Abstract; Table S1</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Protocol version date and identifier</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Title page; Administrative information</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3a</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Names, affiliations and roles of contributors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Title page; Administrative information</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3b</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Sponsor name and contact</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Administrative information</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3c</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Role of sponsor and funders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Administrative information</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3d</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Coordinating and oversight groups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Administrative information; Monitoring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4</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Trial registration</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Open science: Trial registration</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5</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Access to protocol and statistical analysis plan</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Open science: Protocol and SAP</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6</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Data sharing</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Open science: Data sharing</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7a</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Sources of funding and support</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Open science: Funding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7b</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Conflicts of interest</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Open science: Funding; Declarations</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8</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Dissemination policy</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Open science: Dissemination policy</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9a</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Background and rationale, benefits and harms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Introduction: Background and rationale</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9b</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Choice of comparator</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Introduction: Choice of comparator</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10</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Objectives related to benefits and harms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Introduction: Objectives</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11</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Patient and public involvement</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Patient and public involvement</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12</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Trial design, allocation ratio, framework</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Trial design</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13</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Setting and locations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Trial setting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14a</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Participant eligibility</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Eligibility criteria</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14b</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Eligibility of those delivering interventions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Eligibility criteria</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15a</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Intervention and comparator, replicable detail</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Intervention and comparator; Table 1</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15b</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Criteria for discontinuing or modifying</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Intervention and comparator</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15c</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Adherence strategies and monitoring</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Intervention and comparator</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15d</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Concomitant care</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Intervention and comparator</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16</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Outcomes: variable, metric, aggregation, time point</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Outcomes; Table 2</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17</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Harms definition and assessment</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Harms</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18</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Participant timeline and schedule</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Participant timeline; Table 3</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19</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Sample size and assumptions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Sample size</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20</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Recruitment strategies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Recruitment</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21a</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Who generates the sequence and method</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Assignment of interventions</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21b</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Type of randomisation; restriction details held separately</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Assignment of interventions</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22</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Allocation concealment mechanism</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Assignment of interventions</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23</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Implementation and access to sequence</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Assignment of interventions</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24a</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Who is blinded</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Blinding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24b</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How blinding is achieved</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Blinding</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24c</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Unblinding circumstances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Blinding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25a</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Data collection, quality, instruments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Data collection</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25b</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Retention and follow-up of discontinuers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Retention</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26</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Data management</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Data management</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27a</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Statistical methods incl. harms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Statistical methods</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27b</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Analysis populations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Analysis populations</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27c</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Missing data</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Missing data</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27d</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Additional analyses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Additional analyses</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28a</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Data monitoring committee or justification</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Monitoring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28b</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Interim analyses and stopping guidelines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Methods: Monitoring</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29</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Trial monitoring</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Methods: Monitoring</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30</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Ethics approval plans</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Ethics and dissemination</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31</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Protocol amendments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Ethics and dissemination</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32a</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Who obtains consent and how</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Ethics and dissemination: Consent</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32b</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Consent for ancillary studies</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Ethics and dissemination: Consent (not applicable)</w:t>
            </w:r>
          </w:p>
        </w:tc>
      </w:tr>
      <w:tr>
        <w:trPr>
          <w:cantSplit/>
        </w:trPr>
        <w:tc>
          <w:tcPr>
            <w:tcW w:type="dxa" w:w="8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33</w:t>
            </w:r>
          </w:p>
        </w:tc>
        <w:tc>
          <w:tcPr>
            <w:tcW w:type="dxa" w:w="48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Confidentiality</w:t>
            </w:r>
          </w:p>
        </w:tc>
        <w:tc>
          <w:tcPr>
            <w:tcW w:type="dxa" w:w="37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7"/>
                <w:szCs w:val="17"/>
              </w:rPr>
              <w:t xml:space="preserve">Ethics and dissemination: Confidentiality</w:t>
            </w:r>
          </w:p>
        </w:tc>
      </w:tr>
      <w:tr>
        <w:trPr>
          <w:cantSplit/>
        </w:trPr>
        <w:tc>
          <w:tcPr>
            <w:tcW w:type="dxa" w:w="8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34</w:t>
            </w:r>
          </w:p>
        </w:tc>
        <w:tc>
          <w:tcPr>
            <w:tcW w:type="dxa" w:w="48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Ancillary and post-trial care; compensation</w:t>
            </w:r>
          </w:p>
        </w:tc>
        <w:tc>
          <w:tcPr>
            <w:tcW w:type="dxa" w:w="37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7"/>
                <w:szCs w:val="17"/>
              </w:rPr>
              <w:t xml:space="preserve">Ethics and dissemination: Ancillary and post-trial care</w:t>
            </w:r>
          </w:p>
        </w:tc>
      </w:tr>
    </w:tbl>
    <w:p>
      <w:r>
        <w:br w:type="page"/>
      </w:r>
    </w:p>
    <w:p>
      <w:pPr>
        <w:pStyle w:val="Heading1"/>
      </w:pPr>
      <w:r>
        <w:t xml:space="preserve">Supplementary Table S1. WHO Trial Registration Data Set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Field</w:t>
            </w:r>
          </w:p>
        </w:tc>
        <w:tc>
          <w:tcPr>
            <w:tcW w:type="dxa" w:w="6160"/>
            <w:tcBorders>
              <w:top w:val="single" w:color="C9CFC6" w:sz="4"/>
              <w:left w:val="single" w:color="C9CFC6" w:sz="4"/>
              <w:bottom w:val="single" w:color="C9CFC6" w:sz="4"/>
              <w:right w:val="single" w:color="C9CFC6" w:sz="4"/>
            </w:tcBorders>
            <w:shd w:fill="0F5C63" w:color="auto" w:val="clear"/>
            <w:tcMar>
              <w:top w:type="dxa" w:w="50"/>
              <w:left w:type="dxa" w:w="90"/>
              <w:bottom w:type="dxa" w:w="50"/>
              <w:right w:type="dxa" w:w="90"/>
            </w:tcMar>
          </w:tcPr>
          <w:p>
            <w:pPr>
              <w:spacing w:after="30"/>
              <w:jc w:val="left"/>
            </w:pPr>
            <w:r>
              <w:rPr>
                <w:b/>
                <w:bCs/>
                <w:color w:val="FFFFFF"/>
                <w:sz w:val="18"/>
                <w:szCs w:val="18"/>
              </w:rPr>
              <w:t xml:space="preserve">Entry</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Primary registry and trial number</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ClinicalTrials.gov; [pending]</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Date of registration</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[pending; before first enrolment]</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Source of funding / sponsor</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[Funding]; [University]</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Contact for public and scientific queries</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[Name, email]</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Public title</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Virtual classroom training for autistic university students</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Scientific title</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Immersive versus screen-based virtual classroom training for academic interaction among autistic university students in Jordan: a pilot randomised controlled trial</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Countries of recruitment</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Jordan</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Health condition studied</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Autism</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Interventions</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Immersive VR virtual classroom training; comparator: identical training on a standard screen</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Key inclusion and exclusion criteria</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Enrolled autistic university students aged ≥18; excluding photosensitive epilepsy</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Study type</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Interventional, randomised, parallel-group, assessor-blinded pilot trial</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Date of first enrolment</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[Week 3 of project]</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Target sample size</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24</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Recruitment status</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Not yet recruiting</w:t>
            </w:r>
          </w:p>
        </w:tc>
      </w:tr>
      <w:tr>
        <w:trPr>
          <w:cantSplit/>
        </w:trPr>
        <w:tc>
          <w:tcPr>
            <w:tcW w:type="dxa" w:w="320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Primary outcomes</w:t>
            </w:r>
          </w:p>
        </w:tc>
        <w:tc>
          <w:tcPr>
            <w:tcW w:type="dxa" w:w="6160"/>
            <w:tcBorders>
              <w:top w:val="single" w:color="C9CFC6" w:sz="4"/>
              <w:left w:val="single" w:color="C9CFC6" w:sz="4"/>
              <w:bottom w:val="single" w:color="C9CFC6" w:sz="4"/>
              <w:right w:val="single" w:color="C9CFC6" w:sz="4"/>
            </w:tcBorders>
            <w:tcMar>
              <w:top w:type="dxa" w:w="50"/>
              <w:left w:type="dxa" w:w="90"/>
              <w:bottom w:type="dxa" w:w="50"/>
              <w:right w:type="dxa" w:w="90"/>
            </w:tcMar>
          </w:tcPr>
          <w:p>
            <w:pPr>
              <w:spacing w:after="30"/>
              <w:jc w:val="left"/>
            </w:pPr>
            <w:r>
              <w:rPr>
                <w:sz w:val="18"/>
                <w:szCs w:val="18"/>
              </w:rPr>
              <w:t xml:space="preserve">Feasibility: recruitment, retention, adherence, harms, rater reliability</w:t>
            </w:r>
          </w:p>
        </w:tc>
      </w:tr>
      <w:tr>
        <w:trPr>
          <w:cantSplit/>
        </w:trPr>
        <w:tc>
          <w:tcPr>
            <w:tcW w:type="dxa" w:w="320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Key secondary outcomes</w:t>
            </w:r>
          </w:p>
        </w:tc>
        <w:tc>
          <w:tcPr>
            <w:tcW w:type="dxa" w:w="6160"/>
            <w:tcBorders>
              <w:top w:val="single" w:color="C9CFC6" w:sz="4"/>
              <w:left w:val="single" w:color="C9CFC6" w:sz="4"/>
              <w:bottom w:val="single" w:color="C9CFC6" w:sz="4"/>
              <w:right w:val="single" w:color="C9CFC6" w:sz="4"/>
            </w:tcBorders>
            <w:shd w:fill="F1F2EF" w:color="auto" w:val="clear"/>
            <w:tcMar>
              <w:top w:type="dxa" w:w="50"/>
              <w:left w:type="dxa" w:w="90"/>
              <w:bottom w:type="dxa" w:w="50"/>
              <w:right w:type="dxa" w:w="90"/>
            </w:tcMar>
          </w:tcPr>
          <w:p>
            <w:pPr>
              <w:spacing w:after="30"/>
              <w:jc w:val="left"/>
            </w:pPr>
            <w:r>
              <w:rPr>
                <w:sz w:val="18"/>
                <w:szCs w:val="18"/>
              </w:rPr>
              <w:t xml:space="preserve">Verbal contributions in a live seminar task; presentation quality; public-speaking anxiety; cybersickness; usability</w:t>
            </w:r>
          </w:p>
        </w:tc>
      </w:tr>
    </w:tbl>
    <w:sectPr>
      <w:headerReference w:type="default" r:id="rId6"/>
      <w:footerReference w:type="default" r:id="rId7"/>
      <w:pgSz w:w="11906" w:h="16838" w:orient="portrait"/>
      <w:pgMar w:top="1300" w:right="1270" w:bottom="1300" w:left="127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Virtual classroom training · pilot RCT protocol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Calibri" w:cs="Calibri" w:eastAsia="Calibri" w:hAnsi="Calibri"/>
      <w:b/>
      <w:bCs/>
      <w:color w:val="14202E"/>
      <w:sz w:val="28"/>
      <w:szCs w:val="28"/>
    </w:rPr>
  </w:style>
  <w:style w:type="paragraph" w:styleId="Heading2">
    <w:name w:val="Heading 2"/>
    <w:basedOn w:val="Normal"/>
    <w:next w:val="Normal"/>
    <w:qFormat/>
    <w:pPr>
      <w:keepNext/>
      <w:spacing w:after="90" w:before="220"/>
      <w:outlineLvl w:val="1"/>
    </w:pPr>
    <w:rPr>
      <w:rFonts w:ascii="Calibri" w:cs="Calibri" w:eastAsia="Calibri" w:hAnsi="Calibri"/>
      <w:b/>
      <w:bCs/>
      <w:color w:val="0F5C63"/>
      <w:sz w:val="23"/>
      <w:szCs w:val="23"/>
    </w:rPr>
  </w:style>
  <w:style w:type="paragraph" w:styleId="Heading3">
    <w:name w:val="Heading 3"/>
    <w:basedOn w:val="Normal"/>
    <w:next w:val="Normal"/>
    <w:qFormat/>
    <w:pPr>
      <w:keepNext/>
      <w:spacing w:after="60" w:before="160"/>
      <w:outlineLvl w:val="2"/>
    </w:pPr>
    <w:rPr>
      <w:rFonts w:ascii="Calibri" w:cs="Calibri" w:eastAsia="Calibri" w:hAnsi="Calibri"/>
      <w:b/>
      <w:bCs/>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classroom training: protocol for a pilot randomised controlled trial</dc:title>
  <dc:description>Study protocol</dc:description>
  <cp:lastModifiedBy>Un-named</cp:lastModifiedBy>
  <cp:revision>1</cp:revision>
  <dcterms:created xsi:type="dcterms:W3CDTF">2026-10-15T04:18:58.398Z</dcterms:created>
  <dcterms:modified xsi:type="dcterms:W3CDTF">2026-10-15T04:18:58.399Z</dcterms:modified>
</cp:coreProperties>
</file>

<file path=docProps/custom.xml><?xml version="1.0" encoding="utf-8"?>
<Properties xmlns="http://schemas.openxmlformats.org/officeDocument/2006/custom-properties" xmlns:vt="http://schemas.openxmlformats.org/officeDocument/2006/docPropsVTypes"/>
</file>